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FD1D" w14:textId="76CD45B7" w:rsidR="00720F7D" w:rsidRPr="00FF0DAC" w:rsidRDefault="00720F7D" w:rsidP="00720F7D">
      <w:pPr>
        <w:shd w:val="clear" w:color="auto" w:fill="FFFFFF"/>
        <w:spacing w:after="0" w:line="240" w:lineRule="auto"/>
        <w:rPr>
          <w:rFonts w:cs="Arial"/>
          <w:b/>
        </w:rPr>
      </w:pPr>
      <w:r w:rsidRPr="00FF0DAC">
        <w:rPr>
          <w:rFonts w:eastAsia="Times New Roman" w:cs="Arial"/>
          <w:b/>
          <w:sz w:val="24"/>
          <w:szCs w:val="24"/>
          <w:lang w:eastAsia="de-DE"/>
        </w:rPr>
        <w:t xml:space="preserve">Anlage </w:t>
      </w:r>
      <w:r w:rsidR="003F0766" w:rsidRPr="00FF0DAC">
        <w:rPr>
          <w:rFonts w:eastAsia="Times New Roman" w:cs="Arial"/>
          <w:b/>
          <w:sz w:val="24"/>
          <w:szCs w:val="24"/>
          <w:lang w:eastAsia="de-DE"/>
        </w:rPr>
        <w:t>6</w:t>
      </w:r>
      <w:r w:rsidRPr="00FF0DAC">
        <w:rPr>
          <w:rFonts w:eastAsia="Times New Roman" w:cs="Arial"/>
          <w:b/>
          <w:sz w:val="24"/>
          <w:szCs w:val="24"/>
          <w:lang w:eastAsia="de-DE"/>
        </w:rPr>
        <w:t>: Hinweise auf in Papierform aufzubewahrende Dokumente</w:t>
      </w:r>
    </w:p>
    <w:p w14:paraId="07F10A12" w14:textId="77777777" w:rsidR="00720F7D" w:rsidRPr="00FF0DAC" w:rsidRDefault="00720F7D" w:rsidP="00720F7D">
      <w:pPr>
        <w:shd w:val="clear" w:color="auto" w:fill="FFFFFF"/>
        <w:spacing w:after="0" w:line="240" w:lineRule="auto"/>
        <w:rPr>
          <w:rFonts w:eastAsia="Times New Roman" w:cs="Arial"/>
          <w:b/>
          <w:sz w:val="24"/>
          <w:szCs w:val="24"/>
          <w:lang w:eastAsia="de-DE"/>
        </w:rPr>
      </w:pPr>
    </w:p>
    <w:p w14:paraId="451C016C" w14:textId="77777777" w:rsidR="00720F7D" w:rsidRPr="00FF0DAC" w:rsidRDefault="00720F7D" w:rsidP="00720F7D">
      <w:pPr>
        <w:jc w:val="both"/>
        <w:rPr>
          <w:rFonts w:cs="Arial"/>
          <w:sz w:val="24"/>
          <w:szCs w:val="24"/>
          <w:u w:val="single"/>
        </w:rPr>
      </w:pPr>
      <w:r w:rsidRPr="00FF0DAC">
        <w:rPr>
          <w:rFonts w:cs="Arial"/>
          <w:sz w:val="24"/>
          <w:szCs w:val="24"/>
          <w:u w:val="single"/>
        </w:rPr>
        <w:t>Grundsätzliches</w:t>
      </w:r>
    </w:p>
    <w:p w14:paraId="5E6F5E81" w14:textId="77777777" w:rsidR="00720F7D" w:rsidRPr="00FF0DAC" w:rsidRDefault="00720F7D" w:rsidP="00720F7D">
      <w:pPr>
        <w:jc w:val="both"/>
        <w:rPr>
          <w:rFonts w:cs="Arial"/>
          <w:sz w:val="24"/>
          <w:szCs w:val="24"/>
        </w:rPr>
      </w:pPr>
      <w:r w:rsidRPr="00FF0DAC">
        <w:rPr>
          <w:rFonts w:cs="Arial"/>
          <w:sz w:val="24"/>
          <w:szCs w:val="24"/>
        </w:rPr>
        <w:t>Digitale Unterlagen können grundsätzlich nur dann vollumfänglich die Papierform ersetzen, wenn die Möglichkeit eines revisionssicheren Speichers gegeben ist. Da diese Voraussetzung in kirchlichen Verwaltungsorganen im Regelfall noch nicht existiert, müssen aktenrelevante Unterlagen gegenwärtig noch in Papierform aufbewahrt werden. Dies gilt (ohne Anspruch auf Vollständigkeit) insbesondere für:</w:t>
      </w:r>
    </w:p>
    <w:p w14:paraId="718965A2"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Personalakten</w:t>
      </w:r>
    </w:p>
    <w:p w14:paraId="3F0CF1D6"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 xml:space="preserve">wichtige Bauunterlagen, Baupläne </w:t>
      </w:r>
    </w:p>
    <w:p w14:paraId="6EA66D7D"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Verträge, Urkunden, notariell beglaubigte Dokumente</w:t>
      </w:r>
    </w:p>
    <w:p w14:paraId="01C350F2"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Gerichtsurteile</w:t>
      </w:r>
    </w:p>
    <w:p w14:paraId="3D050332"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Grundstücksunterlagen</w:t>
      </w:r>
    </w:p>
    <w:p w14:paraId="04586040" w14:textId="77777777" w:rsidR="00720F7D" w:rsidRPr="00FF0DAC" w:rsidRDefault="00720F7D" w:rsidP="00720F7D">
      <w:pPr>
        <w:pStyle w:val="Listenabsatz"/>
        <w:numPr>
          <w:ilvl w:val="0"/>
          <w:numId w:val="41"/>
        </w:numPr>
        <w:spacing w:after="160" w:line="259" w:lineRule="auto"/>
        <w:jc w:val="both"/>
        <w:rPr>
          <w:rFonts w:cs="Arial"/>
          <w:sz w:val="24"/>
          <w:szCs w:val="24"/>
        </w:rPr>
      </w:pPr>
      <w:r w:rsidRPr="00FF0DAC">
        <w:rPr>
          <w:rFonts w:cs="Arial"/>
          <w:sz w:val="24"/>
          <w:szCs w:val="24"/>
        </w:rPr>
        <w:t>Dokumente, die Gegenstand von anhängigen steuer-, straf- oder bußgeldlichen Ermittlungsverfahren sind</w:t>
      </w:r>
    </w:p>
    <w:p w14:paraId="4D711B84" w14:textId="77777777" w:rsidR="00720F7D" w:rsidRPr="00FF0DAC" w:rsidRDefault="00720F7D" w:rsidP="00720F7D">
      <w:pPr>
        <w:jc w:val="both"/>
        <w:rPr>
          <w:rFonts w:cs="Arial"/>
          <w:sz w:val="24"/>
          <w:szCs w:val="24"/>
        </w:rPr>
      </w:pPr>
      <w:r w:rsidRPr="00FF0DAC">
        <w:rPr>
          <w:rFonts w:cs="Arial"/>
          <w:sz w:val="24"/>
          <w:szCs w:val="24"/>
        </w:rPr>
        <w:t xml:space="preserve">Für </w:t>
      </w:r>
      <w:r w:rsidRPr="00FF0DAC">
        <w:rPr>
          <w:rFonts w:cs="Arial"/>
          <w:sz w:val="24"/>
          <w:szCs w:val="24"/>
          <w:u w:val="single"/>
        </w:rPr>
        <w:t xml:space="preserve">Unterlagen aus dem Bereich Finanzen, Haushalt, Rechnungen, Steuer </w:t>
      </w:r>
      <w:r w:rsidRPr="00FF0DAC">
        <w:rPr>
          <w:rFonts w:cs="Arial"/>
          <w:sz w:val="24"/>
          <w:szCs w:val="24"/>
        </w:rPr>
        <w:t>bestehen detaillierte Vorschriften</w:t>
      </w:r>
    </w:p>
    <w:p w14:paraId="07396D80" w14:textId="77777777" w:rsidR="00720F7D" w:rsidRPr="00FF0DAC" w:rsidRDefault="00720F7D" w:rsidP="00720F7D">
      <w:pPr>
        <w:jc w:val="both"/>
        <w:rPr>
          <w:rFonts w:cs="Arial"/>
          <w:sz w:val="24"/>
          <w:szCs w:val="24"/>
        </w:rPr>
      </w:pPr>
      <w:r w:rsidRPr="00FF0DAC">
        <w:rPr>
          <w:rFonts w:cs="Arial"/>
          <w:sz w:val="24"/>
          <w:szCs w:val="24"/>
        </w:rPr>
        <w:t>Für die Aufbewahrung von verschiedenen Geschäftsunterlagen sind gesetzlich folgende Formen vorgeschrieben:</w:t>
      </w:r>
    </w:p>
    <w:p w14:paraId="412A731C" w14:textId="77777777"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b/>
          <w:bCs/>
          <w:sz w:val="24"/>
          <w:szCs w:val="24"/>
        </w:rPr>
        <w:t>Jahresabschlüsse und Eröffnungsbilanzen</w:t>
      </w:r>
      <w:r w:rsidRPr="00FF0DAC">
        <w:rPr>
          <w:rFonts w:cs="Arial"/>
          <w:sz w:val="24"/>
          <w:szCs w:val="24"/>
        </w:rPr>
        <w:t xml:space="preserve"> sind nach § 147 Abs. 2 AO </w:t>
      </w:r>
      <w:r w:rsidRPr="00FF0DAC">
        <w:rPr>
          <w:rFonts w:cs="Arial"/>
          <w:b/>
          <w:bCs/>
          <w:sz w:val="24"/>
          <w:szCs w:val="24"/>
        </w:rPr>
        <w:t>im Original</w:t>
      </w:r>
      <w:r w:rsidRPr="00FF0DAC">
        <w:rPr>
          <w:rFonts w:cs="Arial"/>
          <w:sz w:val="24"/>
          <w:szCs w:val="24"/>
        </w:rPr>
        <w:t xml:space="preserve"> aufzubewahren.  Obwohl nach § 147 Abs. 2 AO Unterlagen, die einer mit Mitteln der Datenverarbeitung abgegebenen Zollanmeldung beizufügen sind,  auch im Original aufzubewahren sind,   hat die Finanzverwaltung in Abweichung von den gesetzlichen Vorgaben diesbezüglich eine Erleichterung gewährt und verlangt  inzwischen keine Aufbewahrung mehr im Original (Verfügung des </w:t>
      </w:r>
      <w:hyperlink r:id="rId8" w:tgtFrame="_blank" w:tooltip="pdf-Datei" w:history="1">
        <w:r w:rsidRPr="00FF0DAC">
          <w:rPr>
            <w:rFonts w:cs="Arial"/>
            <w:color w:val="0000FF"/>
            <w:sz w:val="24"/>
            <w:szCs w:val="24"/>
            <w:u w:val="single"/>
          </w:rPr>
          <w:t>BMF vom 8. März 2004</w:t>
        </w:r>
      </w:hyperlink>
      <w:r w:rsidRPr="00FF0DAC">
        <w:rPr>
          <w:rFonts w:cs="Arial"/>
          <w:sz w:val="24"/>
          <w:szCs w:val="24"/>
        </w:rPr>
        <w:t>).</w:t>
      </w:r>
    </w:p>
    <w:p w14:paraId="148EC813" w14:textId="77777777"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sz w:val="24"/>
          <w:szCs w:val="24"/>
        </w:rPr>
        <w:t xml:space="preserve">Alle </w:t>
      </w:r>
      <w:r w:rsidRPr="00FF0DAC">
        <w:rPr>
          <w:rFonts w:cs="Arial"/>
          <w:b/>
          <w:bCs/>
          <w:sz w:val="24"/>
          <w:szCs w:val="24"/>
        </w:rPr>
        <w:t>Rechnungen sowie Handels- und Geschäftsbriefe</w:t>
      </w:r>
      <w:r w:rsidRPr="00FF0DAC">
        <w:rPr>
          <w:rFonts w:cs="Arial"/>
          <w:sz w:val="24"/>
          <w:szCs w:val="24"/>
        </w:rPr>
        <w:t>, die der Unternehmer erhalten hat, sind so aufzubewahren (§§ 14, 14b UStG), dass ihre Wiedergabe bildlich mit dem Original übereinstimmt (</w:t>
      </w:r>
      <w:r w:rsidRPr="00FF0DAC">
        <w:rPr>
          <w:rFonts w:cs="Arial"/>
          <w:b/>
          <w:bCs/>
          <w:sz w:val="24"/>
          <w:szCs w:val="24"/>
        </w:rPr>
        <w:t>bildliche Wiedergabe).</w:t>
      </w:r>
    </w:p>
    <w:p w14:paraId="449E3EA5" w14:textId="3D6E994A"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sz w:val="24"/>
          <w:szCs w:val="24"/>
        </w:rPr>
        <w:t>Zur Aufbewahrung der </w:t>
      </w:r>
      <w:r w:rsidRPr="00FF0DAC">
        <w:rPr>
          <w:rFonts w:cs="Arial"/>
          <w:b/>
          <w:bCs/>
          <w:sz w:val="24"/>
          <w:szCs w:val="24"/>
        </w:rPr>
        <w:t>elektronisch übermittelten Rechnungen</w:t>
      </w:r>
      <w:r w:rsidRPr="00FF0DAC">
        <w:rPr>
          <w:rFonts w:cs="Arial"/>
          <w:sz w:val="24"/>
          <w:szCs w:val="24"/>
        </w:rPr>
        <w:t xml:space="preserve"> siehe das </w:t>
      </w:r>
      <w:hyperlink r:id="rId9" w:tgtFrame="_blank" w:tooltip="externer Link" w:history="1">
        <w:r w:rsidRPr="00FF0DAC">
          <w:rPr>
            <w:rFonts w:cs="Arial"/>
            <w:color w:val="0000FF"/>
            <w:sz w:val="24"/>
            <w:szCs w:val="24"/>
            <w:u w:val="single"/>
          </w:rPr>
          <w:t>BMF-Schreiben vom 2. Juli 2012</w:t>
        </w:r>
      </w:hyperlink>
      <w:r w:rsidRPr="00FF0DAC">
        <w:rPr>
          <w:rFonts w:cs="Arial"/>
          <w:sz w:val="24"/>
          <w:szCs w:val="24"/>
        </w:rPr>
        <w:t xml:space="preserve">. Danach ist für die Gewährleistung der Echtheit der Herkunft, der Unversehrtheit des Inhalts und der Lesbarkeit der Rechnung (§ 14 Abs. 1 UStG) ein sogenanntes innerbetriebliches Kontrollverfahren zulässig, das einen verlässlichen </w:t>
      </w:r>
      <w:proofErr w:type="spellStart"/>
      <w:r w:rsidRPr="00FF0DAC">
        <w:rPr>
          <w:rFonts w:cs="Arial"/>
          <w:sz w:val="24"/>
          <w:szCs w:val="24"/>
        </w:rPr>
        <w:t>Prüfpfad</w:t>
      </w:r>
      <w:proofErr w:type="spellEnd"/>
      <w:r w:rsidRPr="00FF0DAC">
        <w:rPr>
          <w:rFonts w:cs="Arial"/>
          <w:sz w:val="24"/>
          <w:szCs w:val="24"/>
        </w:rPr>
        <w:t xml:space="preserve"> gewährleistet, durch den ein Zusammenhang zwischen der Rechnung und der zugrunde liegenden Leistung hergestellt werden kann. </w:t>
      </w:r>
      <w:r w:rsidR="00AA6966" w:rsidRPr="00FF0DAC">
        <w:rPr>
          <w:rFonts w:cs="Arial"/>
          <w:sz w:val="24"/>
          <w:szCs w:val="24"/>
        </w:rPr>
        <w:t>Dabei</w:t>
      </w:r>
      <w:r w:rsidRPr="00FF0DAC">
        <w:rPr>
          <w:rFonts w:cs="Arial"/>
          <w:sz w:val="24"/>
          <w:szCs w:val="24"/>
        </w:rPr>
        <w:t xml:space="preserve"> sind auch die Nachweise über die Echtheit und Unversehrtheit der Daten aufzubewahren</w:t>
      </w:r>
      <w:r w:rsidR="00AA6966" w:rsidRPr="00FF0DAC">
        <w:rPr>
          <w:rFonts w:cs="Arial"/>
          <w:sz w:val="24"/>
          <w:szCs w:val="24"/>
        </w:rPr>
        <w:t>,</w:t>
      </w:r>
      <w:r w:rsidR="001B151F">
        <w:rPr>
          <w:rFonts w:cs="Arial"/>
          <w:sz w:val="24"/>
          <w:szCs w:val="24"/>
        </w:rPr>
        <w:t xml:space="preserve"> </w:t>
      </w:r>
      <w:r w:rsidR="00AA6966" w:rsidRPr="00FF0DAC">
        <w:rPr>
          <w:rFonts w:cs="Arial"/>
          <w:sz w:val="24"/>
          <w:szCs w:val="24"/>
        </w:rPr>
        <w:t>(</w:t>
      </w:r>
      <w:r w:rsidRPr="00FF0DAC">
        <w:rPr>
          <w:rFonts w:cs="Arial"/>
          <w:sz w:val="24"/>
          <w:szCs w:val="24"/>
        </w:rPr>
        <w:t>z. B. die qualifizierte elektronische Signatur).</w:t>
      </w:r>
    </w:p>
    <w:p w14:paraId="05D60D32" w14:textId="77777777"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sz w:val="24"/>
          <w:szCs w:val="24"/>
        </w:rPr>
        <w:t>Bei allen anderen aufbewahrungspflichtigen Unterlagen reicht die inhaltlich übereinstimmende Wiedergabe aus (</w:t>
      </w:r>
      <w:r w:rsidRPr="00FF0DAC">
        <w:rPr>
          <w:rFonts w:cs="Arial"/>
          <w:b/>
          <w:bCs/>
          <w:sz w:val="24"/>
          <w:szCs w:val="24"/>
        </w:rPr>
        <w:t>inhaltliche Wiedergabe</w:t>
      </w:r>
      <w:r w:rsidRPr="00FF0DAC">
        <w:rPr>
          <w:rFonts w:cs="Arial"/>
          <w:sz w:val="24"/>
          <w:szCs w:val="24"/>
        </w:rPr>
        <w:t>).</w:t>
      </w:r>
    </w:p>
    <w:p w14:paraId="7FC4F50D" w14:textId="77777777"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sz w:val="24"/>
          <w:szCs w:val="24"/>
        </w:rPr>
        <w:t xml:space="preserve">Unterlagen, die steuerrechtlich relevant und zugleich </w:t>
      </w:r>
      <w:r w:rsidRPr="00FF0DAC">
        <w:rPr>
          <w:rFonts w:cs="Arial"/>
          <w:b/>
          <w:bCs/>
          <w:sz w:val="24"/>
          <w:szCs w:val="24"/>
        </w:rPr>
        <w:t>originär digit</w:t>
      </w:r>
      <w:r w:rsidRPr="00FF0DAC">
        <w:rPr>
          <w:rFonts w:cs="Arial"/>
          <w:b/>
          <w:sz w:val="24"/>
          <w:szCs w:val="24"/>
        </w:rPr>
        <w:t>al</w:t>
      </w:r>
      <w:r w:rsidRPr="00FF0DAC">
        <w:rPr>
          <w:rFonts w:cs="Arial"/>
          <w:sz w:val="24"/>
          <w:szCs w:val="24"/>
        </w:rPr>
        <w:t xml:space="preserve"> sind, müssen in einer Form aufbewahrt werden, die eine </w:t>
      </w:r>
      <w:r w:rsidRPr="00FF0DAC">
        <w:rPr>
          <w:rFonts w:cs="Arial"/>
          <w:b/>
          <w:bCs/>
          <w:sz w:val="24"/>
          <w:szCs w:val="24"/>
        </w:rPr>
        <w:t>maschinelle Auswertung</w:t>
      </w:r>
      <w:r w:rsidRPr="00FF0DAC">
        <w:rPr>
          <w:rFonts w:cs="Arial"/>
          <w:sz w:val="24"/>
          <w:szCs w:val="24"/>
        </w:rPr>
        <w:t xml:space="preserve"> ermöglicht. Das bedeutet, dass für solche Unterlagen die bildliche Wiedergabe auf Papier, Mikrofilm oder als Image in einem optischen Archiv für sich allein nicht ausreicht.</w:t>
      </w:r>
    </w:p>
    <w:p w14:paraId="41F9F546" w14:textId="77777777" w:rsidR="00720F7D" w:rsidRPr="00FF0DAC" w:rsidRDefault="00720F7D" w:rsidP="00720F7D">
      <w:pPr>
        <w:numPr>
          <w:ilvl w:val="0"/>
          <w:numId w:val="40"/>
        </w:numPr>
        <w:spacing w:before="100" w:beforeAutospacing="1" w:after="100" w:afterAutospacing="1" w:line="240" w:lineRule="auto"/>
        <w:jc w:val="both"/>
        <w:rPr>
          <w:rFonts w:cs="Arial"/>
          <w:sz w:val="24"/>
          <w:szCs w:val="24"/>
        </w:rPr>
      </w:pPr>
      <w:r w:rsidRPr="00FF0DAC">
        <w:rPr>
          <w:rFonts w:cs="Arial"/>
          <w:sz w:val="24"/>
          <w:szCs w:val="24"/>
        </w:rPr>
        <w:lastRenderedPageBreak/>
        <w:t>Für Rechnungen, die per Computerfax übertragen wurden, bedeutet dies, dass ein Ausdruck auf Papier den Anforderungen an die Aufbewahrung nicht genügt. Anders bei Rechnungen, die per Standard-Telefax übertragen wurden.</w:t>
      </w:r>
    </w:p>
    <w:p w14:paraId="2D435A85" w14:textId="77777777" w:rsidR="00720F7D" w:rsidRPr="00FF0DAC" w:rsidRDefault="00720F7D" w:rsidP="00720F7D">
      <w:pPr>
        <w:jc w:val="both"/>
        <w:rPr>
          <w:rFonts w:cs="Arial"/>
        </w:rPr>
      </w:pPr>
    </w:p>
    <w:p w14:paraId="0BF45CDD" w14:textId="77777777" w:rsidR="00720F7D" w:rsidRPr="00F72A2F" w:rsidRDefault="00720F7D" w:rsidP="00720F7D">
      <w:pPr>
        <w:jc w:val="both"/>
        <w:rPr>
          <w:rFonts w:cs="Arial"/>
          <w:b/>
          <w:bCs/>
          <w:u w:val="single"/>
        </w:rPr>
      </w:pPr>
      <w:r w:rsidRPr="00F72A2F">
        <w:rPr>
          <w:rFonts w:cs="Arial"/>
          <w:b/>
          <w:bCs/>
          <w:u w:val="single"/>
        </w:rPr>
        <w:t xml:space="preserve">Auflistung wichtiger Geschäftsdokumente/-belege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31"/>
        <w:gridCol w:w="2641"/>
      </w:tblGrid>
      <w:tr w:rsidR="00720F7D" w:rsidRPr="00FF0DAC" w14:paraId="16CC5F1A" w14:textId="77777777" w:rsidTr="00D33047">
        <w:trPr>
          <w:tblHeader/>
          <w:tblCellSpacing w:w="15" w:type="dxa"/>
        </w:trPr>
        <w:tc>
          <w:tcPr>
            <w:tcW w:w="0" w:type="auto"/>
            <w:vAlign w:val="center"/>
            <w:hideMark/>
          </w:tcPr>
          <w:p w14:paraId="389B34C5" w14:textId="77777777" w:rsidR="00720F7D" w:rsidRPr="00FF0DAC" w:rsidRDefault="00720F7D" w:rsidP="00D33047">
            <w:pPr>
              <w:jc w:val="center"/>
              <w:rPr>
                <w:b/>
                <w:bCs/>
              </w:rPr>
            </w:pPr>
            <w:r w:rsidRPr="00FF0DAC">
              <w:rPr>
                <w:b/>
                <w:bCs/>
              </w:rPr>
              <w:t>Schriftgut</w:t>
            </w:r>
          </w:p>
        </w:tc>
        <w:tc>
          <w:tcPr>
            <w:tcW w:w="0" w:type="auto"/>
            <w:vAlign w:val="center"/>
            <w:hideMark/>
          </w:tcPr>
          <w:p w14:paraId="35444308" w14:textId="77777777" w:rsidR="00720F7D" w:rsidRPr="00FF0DAC" w:rsidRDefault="00720F7D" w:rsidP="00D33047">
            <w:pPr>
              <w:jc w:val="center"/>
              <w:rPr>
                <w:b/>
                <w:bCs/>
              </w:rPr>
            </w:pPr>
            <w:r w:rsidRPr="00FF0DAC">
              <w:rPr>
                <w:b/>
                <w:bCs/>
              </w:rPr>
              <w:t>Aufbewahrungsfrist (Jahre)</w:t>
            </w:r>
          </w:p>
        </w:tc>
      </w:tr>
      <w:tr w:rsidR="00720F7D" w:rsidRPr="00FF0DAC" w14:paraId="5409F9C2" w14:textId="77777777" w:rsidTr="00D33047">
        <w:trPr>
          <w:tblCellSpacing w:w="15" w:type="dxa"/>
        </w:trPr>
        <w:tc>
          <w:tcPr>
            <w:tcW w:w="0" w:type="auto"/>
            <w:vAlign w:val="center"/>
            <w:hideMark/>
          </w:tcPr>
          <w:p w14:paraId="39693014" w14:textId="77777777" w:rsidR="00720F7D" w:rsidRPr="00FF0DAC" w:rsidRDefault="00720F7D" w:rsidP="00D33047">
            <w:r w:rsidRPr="00FF0DAC">
              <w:rPr>
                <w:b/>
                <w:bCs/>
              </w:rPr>
              <w:t>A</w:t>
            </w:r>
            <w:r w:rsidRPr="00FF0DAC">
              <w:t>brechnungsunterlagen</w:t>
            </w:r>
          </w:p>
        </w:tc>
        <w:tc>
          <w:tcPr>
            <w:tcW w:w="0" w:type="auto"/>
            <w:vAlign w:val="center"/>
            <w:hideMark/>
          </w:tcPr>
          <w:p w14:paraId="13663B9F" w14:textId="77777777" w:rsidR="00720F7D" w:rsidRPr="00FF0DAC" w:rsidRDefault="00720F7D" w:rsidP="00D33047">
            <w:r w:rsidRPr="00FF0DAC">
              <w:t>10</w:t>
            </w:r>
          </w:p>
        </w:tc>
      </w:tr>
      <w:tr w:rsidR="00720F7D" w:rsidRPr="00FF0DAC" w14:paraId="2E086C53" w14:textId="77777777" w:rsidTr="00D33047">
        <w:trPr>
          <w:tblCellSpacing w:w="15" w:type="dxa"/>
        </w:trPr>
        <w:tc>
          <w:tcPr>
            <w:tcW w:w="0" w:type="auto"/>
            <w:vAlign w:val="center"/>
            <w:hideMark/>
          </w:tcPr>
          <w:p w14:paraId="1DBF6DC2" w14:textId="77777777" w:rsidR="00720F7D" w:rsidRPr="00FF0DAC" w:rsidRDefault="00720F7D" w:rsidP="00D33047">
            <w:r w:rsidRPr="00FF0DAC">
              <w:t>Abtretungserklärungen, soweit erledigt</w:t>
            </w:r>
          </w:p>
        </w:tc>
        <w:tc>
          <w:tcPr>
            <w:tcW w:w="0" w:type="auto"/>
            <w:vAlign w:val="center"/>
            <w:hideMark/>
          </w:tcPr>
          <w:p w14:paraId="53E25CA1" w14:textId="77777777" w:rsidR="00720F7D" w:rsidRPr="00FF0DAC" w:rsidRDefault="00720F7D" w:rsidP="00D33047">
            <w:r w:rsidRPr="00FF0DAC">
              <w:t>6</w:t>
            </w:r>
          </w:p>
        </w:tc>
      </w:tr>
      <w:tr w:rsidR="00720F7D" w:rsidRPr="00FF0DAC" w14:paraId="1B5DEB77" w14:textId="77777777" w:rsidTr="00D33047">
        <w:trPr>
          <w:tblCellSpacing w:w="15" w:type="dxa"/>
        </w:trPr>
        <w:tc>
          <w:tcPr>
            <w:tcW w:w="0" w:type="auto"/>
            <w:vAlign w:val="center"/>
            <w:hideMark/>
          </w:tcPr>
          <w:p w14:paraId="14306BD8" w14:textId="77777777" w:rsidR="00720F7D" w:rsidRPr="00FF0DAC" w:rsidRDefault="00720F7D" w:rsidP="00D33047">
            <w:r w:rsidRPr="00FF0DAC">
              <w:t>Änderungsnachweise der EDV-Buchführung</w:t>
            </w:r>
          </w:p>
        </w:tc>
        <w:tc>
          <w:tcPr>
            <w:tcW w:w="0" w:type="auto"/>
            <w:vAlign w:val="center"/>
            <w:hideMark/>
          </w:tcPr>
          <w:p w14:paraId="20A60015" w14:textId="77777777" w:rsidR="00720F7D" w:rsidRPr="00FF0DAC" w:rsidRDefault="00720F7D" w:rsidP="00D33047">
            <w:r w:rsidRPr="00FF0DAC">
              <w:t>10</w:t>
            </w:r>
          </w:p>
        </w:tc>
      </w:tr>
      <w:tr w:rsidR="00720F7D" w:rsidRPr="00FF0DAC" w14:paraId="0DE952F5" w14:textId="77777777" w:rsidTr="00D33047">
        <w:trPr>
          <w:tblCellSpacing w:w="15" w:type="dxa"/>
        </w:trPr>
        <w:tc>
          <w:tcPr>
            <w:tcW w:w="0" w:type="auto"/>
            <w:vAlign w:val="center"/>
            <w:hideMark/>
          </w:tcPr>
          <w:p w14:paraId="7D1EF2CB" w14:textId="77777777" w:rsidR="00720F7D" w:rsidRPr="00FF0DAC" w:rsidRDefault="00720F7D" w:rsidP="00D33047">
            <w:r w:rsidRPr="00FF0DAC">
              <w:t>Akkreditive</w:t>
            </w:r>
          </w:p>
        </w:tc>
        <w:tc>
          <w:tcPr>
            <w:tcW w:w="0" w:type="auto"/>
            <w:vAlign w:val="center"/>
            <w:hideMark/>
          </w:tcPr>
          <w:p w14:paraId="2755494A" w14:textId="77777777" w:rsidR="00720F7D" w:rsidRPr="00FF0DAC" w:rsidRDefault="00720F7D" w:rsidP="00D33047">
            <w:r w:rsidRPr="00FF0DAC">
              <w:t>6</w:t>
            </w:r>
          </w:p>
        </w:tc>
      </w:tr>
      <w:tr w:rsidR="00720F7D" w:rsidRPr="00FF0DAC" w14:paraId="745688AF" w14:textId="77777777" w:rsidTr="00D33047">
        <w:trPr>
          <w:tblCellSpacing w:w="15" w:type="dxa"/>
        </w:trPr>
        <w:tc>
          <w:tcPr>
            <w:tcW w:w="0" w:type="auto"/>
            <w:vAlign w:val="center"/>
            <w:hideMark/>
          </w:tcPr>
          <w:p w14:paraId="4B2047E3" w14:textId="77777777" w:rsidR="00720F7D" w:rsidRPr="00FF0DAC" w:rsidRDefault="00720F7D" w:rsidP="00D33047">
            <w:r w:rsidRPr="00FF0DAC">
              <w:t>Aktenvermerke,</w:t>
            </w:r>
          </w:p>
          <w:p w14:paraId="3072A2DC" w14:textId="77777777" w:rsidR="00720F7D" w:rsidRPr="00FF0DAC" w:rsidRDefault="00720F7D" w:rsidP="00D33047">
            <w:r w:rsidRPr="00FF0DAC">
              <w:t>wenn Bilanzunterlagen oder Buchungsbelege</w:t>
            </w:r>
          </w:p>
        </w:tc>
        <w:tc>
          <w:tcPr>
            <w:tcW w:w="0" w:type="auto"/>
            <w:vAlign w:val="center"/>
            <w:hideMark/>
          </w:tcPr>
          <w:p w14:paraId="38DEB221" w14:textId="77777777" w:rsidR="00720F7D" w:rsidRPr="00FF0DAC" w:rsidRDefault="00720F7D" w:rsidP="00D33047">
            <w:r w:rsidRPr="00FF0DAC">
              <w:t>6</w:t>
            </w:r>
          </w:p>
          <w:p w14:paraId="52647E85" w14:textId="77777777" w:rsidR="00720F7D" w:rsidRPr="00FF0DAC" w:rsidRDefault="00720F7D" w:rsidP="00D33047">
            <w:r w:rsidRPr="00FF0DAC">
              <w:t>10</w:t>
            </w:r>
          </w:p>
        </w:tc>
      </w:tr>
      <w:tr w:rsidR="00720F7D" w:rsidRPr="00FF0DAC" w14:paraId="55254373" w14:textId="77777777" w:rsidTr="00D33047">
        <w:trPr>
          <w:tblCellSpacing w:w="15" w:type="dxa"/>
        </w:trPr>
        <w:tc>
          <w:tcPr>
            <w:tcW w:w="0" w:type="auto"/>
            <w:vAlign w:val="center"/>
            <w:hideMark/>
          </w:tcPr>
          <w:p w14:paraId="36C68FA5" w14:textId="77777777" w:rsidR="00720F7D" w:rsidRPr="00FF0DAC" w:rsidRDefault="00720F7D" w:rsidP="00D33047">
            <w:r w:rsidRPr="00FF0DAC">
              <w:t>Angebote mit Auftragsfolge</w:t>
            </w:r>
          </w:p>
        </w:tc>
        <w:tc>
          <w:tcPr>
            <w:tcW w:w="0" w:type="auto"/>
            <w:vAlign w:val="center"/>
            <w:hideMark/>
          </w:tcPr>
          <w:p w14:paraId="7A818055" w14:textId="77777777" w:rsidR="00720F7D" w:rsidRPr="00FF0DAC" w:rsidRDefault="00720F7D" w:rsidP="00D33047">
            <w:r w:rsidRPr="00FF0DAC">
              <w:t>6</w:t>
            </w:r>
          </w:p>
        </w:tc>
      </w:tr>
      <w:tr w:rsidR="00720F7D" w:rsidRPr="00FF0DAC" w14:paraId="04457640" w14:textId="77777777" w:rsidTr="00D33047">
        <w:trPr>
          <w:tblCellSpacing w:w="15" w:type="dxa"/>
        </w:trPr>
        <w:tc>
          <w:tcPr>
            <w:tcW w:w="0" w:type="auto"/>
            <w:vAlign w:val="center"/>
            <w:hideMark/>
          </w:tcPr>
          <w:p w14:paraId="11997550" w14:textId="77777777" w:rsidR="00720F7D" w:rsidRPr="00FF0DAC" w:rsidRDefault="00720F7D" w:rsidP="00D33047">
            <w:r w:rsidRPr="00FF0DAC">
              <w:t>Angestelltenversicherung (wenn Buchungsbelege)</w:t>
            </w:r>
          </w:p>
        </w:tc>
        <w:tc>
          <w:tcPr>
            <w:tcW w:w="0" w:type="auto"/>
            <w:vAlign w:val="center"/>
            <w:hideMark/>
          </w:tcPr>
          <w:p w14:paraId="47362C12" w14:textId="77777777" w:rsidR="00720F7D" w:rsidRPr="00FF0DAC" w:rsidRDefault="00720F7D" w:rsidP="00D33047">
            <w:r w:rsidRPr="00FF0DAC">
              <w:t>10</w:t>
            </w:r>
          </w:p>
        </w:tc>
      </w:tr>
      <w:tr w:rsidR="00720F7D" w:rsidRPr="00FF0DAC" w14:paraId="13E3DC81" w14:textId="77777777" w:rsidTr="00D33047">
        <w:trPr>
          <w:tblCellSpacing w:w="15" w:type="dxa"/>
        </w:trPr>
        <w:tc>
          <w:tcPr>
            <w:tcW w:w="0" w:type="auto"/>
            <w:vAlign w:val="center"/>
            <w:hideMark/>
          </w:tcPr>
          <w:p w14:paraId="77D62234" w14:textId="77777777" w:rsidR="00720F7D" w:rsidRPr="00FF0DAC" w:rsidRDefault="00720F7D" w:rsidP="00D33047">
            <w:r w:rsidRPr="00FF0DAC">
              <w:t>Anhang zum Jahresabschluss (§ 264 HGB)</w:t>
            </w:r>
          </w:p>
        </w:tc>
        <w:tc>
          <w:tcPr>
            <w:tcW w:w="0" w:type="auto"/>
            <w:vAlign w:val="center"/>
            <w:hideMark/>
          </w:tcPr>
          <w:p w14:paraId="6CEB247E" w14:textId="77777777" w:rsidR="00720F7D" w:rsidRPr="00FF0DAC" w:rsidRDefault="00720F7D" w:rsidP="00D33047">
            <w:r w:rsidRPr="00FF0DAC">
              <w:t>10</w:t>
            </w:r>
          </w:p>
        </w:tc>
      </w:tr>
      <w:tr w:rsidR="00720F7D" w:rsidRPr="00FF0DAC" w14:paraId="53C63E6F" w14:textId="77777777" w:rsidTr="00D33047">
        <w:trPr>
          <w:tblCellSpacing w:w="15" w:type="dxa"/>
        </w:trPr>
        <w:tc>
          <w:tcPr>
            <w:tcW w:w="0" w:type="auto"/>
            <w:vAlign w:val="center"/>
            <w:hideMark/>
          </w:tcPr>
          <w:p w14:paraId="278EF58A" w14:textId="77777777" w:rsidR="00720F7D" w:rsidRPr="00FF0DAC" w:rsidRDefault="00720F7D" w:rsidP="00D33047">
            <w:r w:rsidRPr="00FF0DAC">
              <w:t>Anlagenvermögensbücher- und Karteien</w:t>
            </w:r>
          </w:p>
        </w:tc>
        <w:tc>
          <w:tcPr>
            <w:tcW w:w="0" w:type="auto"/>
            <w:vAlign w:val="center"/>
            <w:hideMark/>
          </w:tcPr>
          <w:p w14:paraId="326E7D36" w14:textId="77777777" w:rsidR="00720F7D" w:rsidRPr="00FF0DAC" w:rsidRDefault="00720F7D" w:rsidP="00D33047">
            <w:r w:rsidRPr="00FF0DAC">
              <w:t>10</w:t>
            </w:r>
          </w:p>
        </w:tc>
      </w:tr>
      <w:tr w:rsidR="00720F7D" w:rsidRPr="00FF0DAC" w14:paraId="28AA3C21" w14:textId="77777777" w:rsidTr="00D33047">
        <w:trPr>
          <w:tblCellSpacing w:w="15" w:type="dxa"/>
        </w:trPr>
        <w:tc>
          <w:tcPr>
            <w:tcW w:w="0" w:type="auto"/>
            <w:vAlign w:val="center"/>
            <w:hideMark/>
          </w:tcPr>
          <w:p w14:paraId="7755FC8A" w14:textId="77777777" w:rsidR="00720F7D" w:rsidRPr="00FF0DAC" w:rsidRDefault="00720F7D" w:rsidP="00D33047">
            <w:r w:rsidRPr="00FF0DAC">
              <w:t>Anträge auf Arbeitnehmersparzulage</w:t>
            </w:r>
          </w:p>
        </w:tc>
        <w:tc>
          <w:tcPr>
            <w:tcW w:w="0" w:type="auto"/>
            <w:vAlign w:val="center"/>
            <w:hideMark/>
          </w:tcPr>
          <w:p w14:paraId="38C640A1" w14:textId="77777777" w:rsidR="00720F7D" w:rsidRPr="00FF0DAC" w:rsidRDefault="00720F7D" w:rsidP="00D33047">
            <w:r w:rsidRPr="00FF0DAC">
              <w:t>10</w:t>
            </w:r>
          </w:p>
        </w:tc>
      </w:tr>
      <w:tr w:rsidR="00720F7D" w:rsidRPr="00FF0DAC" w14:paraId="7175841B" w14:textId="77777777" w:rsidTr="00D33047">
        <w:trPr>
          <w:tblCellSpacing w:w="15" w:type="dxa"/>
        </w:trPr>
        <w:tc>
          <w:tcPr>
            <w:tcW w:w="0" w:type="auto"/>
            <w:vAlign w:val="center"/>
            <w:hideMark/>
          </w:tcPr>
          <w:p w14:paraId="25D17716" w14:textId="77777777" w:rsidR="00720F7D" w:rsidRPr="00FF0DAC" w:rsidRDefault="00720F7D" w:rsidP="00D33047">
            <w:r w:rsidRPr="00FF0DAC">
              <w:t>Arbeitsanweisungen (auch für EDV-Buchführung)</w:t>
            </w:r>
          </w:p>
        </w:tc>
        <w:tc>
          <w:tcPr>
            <w:tcW w:w="0" w:type="auto"/>
            <w:vAlign w:val="center"/>
            <w:hideMark/>
          </w:tcPr>
          <w:p w14:paraId="6FD24A33" w14:textId="77777777" w:rsidR="00720F7D" w:rsidRPr="00FF0DAC" w:rsidRDefault="00720F7D" w:rsidP="00D33047">
            <w:r w:rsidRPr="00FF0DAC">
              <w:t>10</w:t>
            </w:r>
          </w:p>
        </w:tc>
      </w:tr>
      <w:tr w:rsidR="00720F7D" w:rsidRPr="00FF0DAC" w14:paraId="3B6FDE07" w14:textId="77777777" w:rsidTr="00D33047">
        <w:trPr>
          <w:tblCellSpacing w:w="15" w:type="dxa"/>
        </w:trPr>
        <w:tc>
          <w:tcPr>
            <w:tcW w:w="0" w:type="auto"/>
            <w:vAlign w:val="center"/>
            <w:hideMark/>
          </w:tcPr>
          <w:p w14:paraId="4459EA22" w14:textId="77777777" w:rsidR="00720F7D" w:rsidRPr="00FF0DAC" w:rsidRDefault="00720F7D" w:rsidP="00D33047">
            <w:r w:rsidRPr="00FF0DAC">
              <w:t>Aufbewahrungsvorschriften für betriebliche EDV-Dokumentation</w:t>
            </w:r>
          </w:p>
        </w:tc>
        <w:tc>
          <w:tcPr>
            <w:tcW w:w="0" w:type="auto"/>
            <w:vAlign w:val="center"/>
            <w:hideMark/>
          </w:tcPr>
          <w:p w14:paraId="4877EA99" w14:textId="77777777" w:rsidR="00720F7D" w:rsidRPr="00FF0DAC" w:rsidRDefault="00720F7D" w:rsidP="00D33047">
            <w:r w:rsidRPr="00FF0DAC">
              <w:t>10</w:t>
            </w:r>
          </w:p>
        </w:tc>
      </w:tr>
      <w:tr w:rsidR="00720F7D" w:rsidRPr="00FF0DAC" w14:paraId="73B6B278" w14:textId="77777777" w:rsidTr="00D33047">
        <w:trPr>
          <w:tblCellSpacing w:w="15" w:type="dxa"/>
        </w:trPr>
        <w:tc>
          <w:tcPr>
            <w:tcW w:w="0" w:type="auto"/>
            <w:vAlign w:val="center"/>
            <w:hideMark/>
          </w:tcPr>
          <w:p w14:paraId="4DA58257" w14:textId="77777777" w:rsidR="00720F7D" w:rsidRPr="00FF0DAC" w:rsidRDefault="00720F7D" w:rsidP="00D33047">
            <w:r w:rsidRPr="00FF0DAC">
              <w:t>Aufzeichnungen</w:t>
            </w:r>
          </w:p>
        </w:tc>
        <w:tc>
          <w:tcPr>
            <w:tcW w:w="0" w:type="auto"/>
            <w:vAlign w:val="center"/>
            <w:hideMark/>
          </w:tcPr>
          <w:p w14:paraId="61862E9A" w14:textId="77777777" w:rsidR="00720F7D" w:rsidRPr="00FF0DAC" w:rsidRDefault="00720F7D" w:rsidP="00D33047">
            <w:r w:rsidRPr="00FF0DAC">
              <w:t>10</w:t>
            </w:r>
          </w:p>
        </w:tc>
      </w:tr>
      <w:tr w:rsidR="00720F7D" w:rsidRPr="00FF0DAC" w14:paraId="39D19E03" w14:textId="77777777" w:rsidTr="00D33047">
        <w:trPr>
          <w:tblCellSpacing w:w="15" w:type="dxa"/>
        </w:trPr>
        <w:tc>
          <w:tcPr>
            <w:tcW w:w="0" w:type="auto"/>
            <w:vAlign w:val="center"/>
            <w:hideMark/>
          </w:tcPr>
          <w:p w14:paraId="42E98E58" w14:textId="77777777" w:rsidR="00720F7D" w:rsidRPr="00FF0DAC" w:rsidRDefault="00720F7D" w:rsidP="00D33047">
            <w:r w:rsidRPr="00FF0DAC">
              <w:t>Ausgangsrechnungen</w:t>
            </w:r>
          </w:p>
        </w:tc>
        <w:tc>
          <w:tcPr>
            <w:tcW w:w="0" w:type="auto"/>
            <w:vAlign w:val="center"/>
            <w:hideMark/>
          </w:tcPr>
          <w:p w14:paraId="15069D6A" w14:textId="77777777" w:rsidR="00720F7D" w:rsidRPr="00FF0DAC" w:rsidRDefault="00720F7D" w:rsidP="00D33047">
            <w:r w:rsidRPr="00FF0DAC">
              <w:t>10</w:t>
            </w:r>
          </w:p>
        </w:tc>
      </w:tr>
      <w:tr w:rsidR="00720F7D" w:rsidRPr="00FF0DAC" w14:paraId="3346AE64" w14:textId="77777777" w:rsidTr="00D33047">
        <w:trPr>
          <w:tblCellSpacing w:w="15" w:type="dxa"/>
        </w:trPr>
        <w:tc>
          <w:tcPr>
            <w:tcW w:w="0" w:type="auto"/>
            <w:vAlign w:val="center"/>
            <w:hideMark/>
          </w:tcPr>
          <w:p w14:paraId="39A79CE7" w14:textId="77777777" w:rsidR="00720F7D" w:rsidRPr="00FF0DAC" w:rsidRDefault="00720F7D" w:rsidP="00D33047">
            <w:r w:rsidRPr="00FF0DAC">
              <w:t>Außendienstabrechnungen, wenn Buchungsbelege</w:t>
            </w:r>
          </w:p>
          <w:p w14:paraId="6E3B0C27" w14:textId="77777777" w:rsidR="00720F7D" w:rsidRPr="00FF0DAC" w:rsidRDefault="00720F7D" w:rsidP="00D33047">
            <w:r w:rsidRPr="00FF0DAC">
              <w:t>wenn sonstige</w:t>
            </w:r>
          </w:p>
        </w:tc>
        <w:tc>
          <w:tcPr>
            <w:tcW w:w="0" w:type="auto"/>
            <w:vAlign w:val="center"/>
            <w:hideMark/>
          </w:tcPr>
          <w:p w14:paraId="6A4E23E2" w14:textId="77777777" w:rsidR="00720F7D" w:rsidRPr="00FF0DAC" w:rsidRDefault="00720F7D" w:rsidP="00D33047">
            <w:r w:rsidRPr="00FF0DAC">
              <w:t>10</w:t>
            </w:r>
          </w:p>
          <w:p w14:paraId="52C38EB6" w14:textId="77777777" w:rsidR="00720F7D" w:rsidRPr="00FF0DAC" w:rsidRDefault="00720F7D" w:rsidP="00D33047">
            <w:r w:rsidRPr="00FF0DAC">
              <w:t>6</w:t>
            </w:r>
          </w:p>
        </w:tc>
      </w:tr>
      <w:tr w:rsidR="00720F7D" w:rsidRPr="00FF0DAC" w14:paraId="3C898CE8" w14:textId="77777777" w:rsidTr="00D33047">
        <w:trPr>
          <w:tblCellSpacing w:w="15" w:type="dxa"/>
        </w:trPr>
        <w:tc>
          <w:tcPr>
            <w:tcW w:w="0" w:type="auto"/>
            <w:vAlign w:val="center"/>
            <w:hideMark/>
          </w:tcPr>
          <w:p w14:paraId="399CF6BD" w14:textId="77777777" w:rsidR="00720F7D" w:rsidRPr="00FF0DAC" w:rsidRDefault="00720F7D" w:rsidP="00D33047">
            <w:r w:rsidRPr="00FF0DAC">
              <w:rPr>
                <w:b/>
                <w:bCs/>
              </w:rPr>
              <w:t>B</w:t>
            </w:r>
            <w:r w:rsidRPr="00FF0DAC">
              <w:t>ankbelege</w:t>
            </w:r>
          </w:p>
        </w:tc>
        <w:tc>
          <w:tcPr>
            <w:tcW w:w="0" w:type="auto"/>
            <w:vAlign w:val="center"/>
            <w:hideMark/>
          </w:tcPr>
          <w:p w14:paraId="55B28447" w14:textId="77777777" w:rsidR="00720F7D" w:rsidRPr="00FF0DAC" w:rsidRDefault="00720F7D" w:rsidP="00D33047">
            <w:r w:rsidRPr="00FF0DAC">
              <w:t>10</w:t>
            </w:r>
          </w:p>
        </w:tc>
      </w:tr>
      <w:tr w:rsidR="00720F7D" w:rsidRPr="00FF0DAC" w14:paraId="56AB0D92" w14:textId="77777777" w:rsidTr="00D33047">
        <w:trPr>
          <w:tblCellSpacing w:w="15" w:type="dxa"/>
        </w:trPr>
        <w:tc>
          <w:tcPr>
            <w:tcW w:w="0" w:type="auto"/>
            <w:vAlign w:val="center"/>
            <w:hideMark/>
          </w:tcPr>
          <w:p w14:paraId="03EF7674" w14:textId="77777777" w:rsidR="00720F7D" w:rsidRPr="00FF0DAC" w:rsidRDefault="00720F7D" w:rsidP="00D33047">
            <w:r w:rsidRPr="00FF0DAC">
              <w:t>Bankbürgschaften nach Vertragsende</w:t>
            </w:r>
          </w:p>
        </w:tc>
        <w:tc>
          <w:tcPr>
            <w:tcW w:w="0" w:type="auto"/>
            <w:vAlign w:val="center"/>
            <w:hideMark/>
          </w:tcPr>
          <w:p w14:paraId="149FEF46" w14:textId="77777777" w:rsidR="00720F7D" w:rsidRPr="00FF0DAC" w:rsidRDefault="00720F7D" w:rsidP="00D33047">
            <w:r w:rsidRPr="00FF0DAC">
              <w:t>10</w:t>
            </w:r>
          </w:p>
        </w:tc>
      </w:tr>
      <w:tr w:rsidR="00720F7D" w:rsidRPr="00FF0DAC" w14:paraId="643DF970" w14:textId="77777777" w:rsidTr="00D33047">
        <w:trPr>
          <w:tblCellSpacing w:w="15" w:type="dxa"/>
        </w:trPr>
        <w:tc>
          <w:tcPr>
            <w:tcW w:w="0" w:type="auto"/>
            <w:vAlign w:val="center"/>
            <w:hideMark/>
          </w:tcPr>
          <w:p w14:paraId="7B347C44" w14:textId="77777777" w:rsidR="00720F7D" w:rsidRPr="00FF0DAC" w:rsidRDefault="00720F7D" w:rsidP="00D33047">
            <w:r w:rsidRPr="00FF0DAC">
              <w:t>Bedienerhandbücher Rechnerbetrieb</w:t>
            </w:r>
          </w:p>
        </w:tc>
        <w:tc>
          <w:tcPr>
            <w:tcW w:w="0" w:type="auto"/>
            <w:vAlign w:val="center"/>
            <w:hideMark/>
          </w:tcPr>
          <w:p w14:paraId="279041ED" w14:textId="77777777" w:rsidR="00720F7D" w:rsidRPr="00FF0DAC" w:rsidRDefault="00720F7D" w:rsidP="00D33047">
            <w:r w:rsidRPr="00FF0DAC">
              <w:t>10</w:t>
            </w:r>
          </w:p>
        </w:tc>
      </w:tr>
      <w:tr w:rsidR="00720F7D" w:rsidRPr="00FF0DAC" w14:paraId="09485E3C" w14:textId="77777777" w:rsidTr="00D33047">
        <w:trPr>
          <w:tblCellSpacing w:w="15" w:type="dxa"/>
        </w:trPr>
        <w:tc>
          <w:tcPr>
            <w:tcW w:w="0" w:type="auto"/>
            <w:vAlign w:val="center"/>
            <w:hideMark/>
          </w:tcPr>
          <w:p w14:paraId="38971D72" w14:textId="77777777" w:rsidR="00720F7D" w:rsidRPr="00FF0DAC" w:rsidRDefault="00720F7D" w:rsidP="00D33047">
            <w:r w:rsidRPr="00FF0DAC">
              <w:lastRenderedPageBreak/>
              <w:t>Belegformate</w:t>
            </w:r>
          </w:p>
        </w:tc>
        <w:tc>
          <w:tcPr>
            <w:tcW w:w="0" w:type="auto"/>
            <w:vAlign w:val="center"/>
            <w:hideMark/>
          </w:tcPr>
          <w:p w14:paraId="18517D80" w14:textId="77777777" w:rsidR="00720F7D" w:rsidRPr="00FF0DAC" w:rsidRDefault="00720F7D" w:rsidP="00D33047">
            <w:r w:rsidRPr="00FF0DAC">
              <w:t>10</w:t>
            </w:r>
          </w:p>
        </w:tc>
      </w:tr>
      <w:tr w:rsidR="00720F7D" w:rsidRPr="00FF0DAC" w14:paraId="52D48698" w14:textId="77777777" w:rsidTr="00D33047">
        <w:trPr>
          <w:tblCellSpacing w:w="15" w:type="dxa"/>
        </w:trPr>
        <w:tc>
          <w:tcPr>
            <w:tcW w:w="0" w:type="auto"/>
            <w:vAlign w:val="center"/>
            <w:hideMark/>
          </w:tcPr>
          <w:p w14:paraId="3853E942" w14:textId="371E51FA" w:rsidR="00720F7D" w:rsidRPr="00FF0DAC" w:rsidRDefault="00720F7D" w:rsidP="00D33047">
            <w:r w:rsidRPr="00FF0DAC">
              <w:t>Beitragsabrechnungen zu Sozialversicherungsträge</w:t>
            </w:r>
            <w:r w:rsidR="009E5FA0">
              <w:t>r</w:t>
            </w:r>
            <w:r w:rsidRPr="00FF0DAC">
              <w:t>n, wenn Buchungsbelege</w:t>
            </w:r>
          </w:p>
        </w:tc>
        <w:tc>
          <w:tcPr>
            <w:tcW w:w="0" w:type="auto"/>
            <w:vAlign w:val="center"/>
            <w:hideMark/>
          </w:tcPr>
          <w:p w14:paraId="06284B11" w14:textId="77777777" w:rsidR="00720F7D" w:rsidRPr="00FF0DAC" w:rsidRDefault="00720F7D" w:rsidP="00D33047">
            <w:r w:rsidRPr="00FF0DAC">
              <w:t>10</w:t>
            </w:r>
          </w:p>
        </w:tc>
      </w:tr>
      <w:tr w:rsidR="00720F7D" w:rsidRPr="00FF0DAC" w14:paraId="0C84625C" w14:textId="77777777" w:rsidTr="00D33047">
        <w:trPr>
          <w:tblCellSpacing w:w="15" w:type="dxa"/>
        </w:trPr>
        <w:tc>
          <w:tcPr>
            <w:tcW w:w="0" w:type="auto"/>
            <w:vAlign w:val="center"/>
            <w:hideMark/>
          </w:tcPr>
          <w:p w14:paraId="3E3C50A2" w14:textId="77777777" w:rsidR="00720F7D" w:rsidRPr="00FF0DAC" w:rsidRDefault="00720F7D" w:rsidP="00D33047">
            <w:r w:rsidRPr="00FF0DAC">
              <w:t>Belege, soweit Buchungsfunktion (Offene-Posten-Buchhaltung)</w:t>
            </w:r>
          </w:p>
        </w:tc>
        <w:tc>
          <w:tcPr>
            <w:tcW w:w="0" w:type="auto"/>
            <w:vAlign w:val="center"/>
            <w:hideMark/>
          </w:tcPr>
          <w:p w14:paraId="2AEE2168" w14:textId="77777777" w:rsidR="00720F7D" w:rsidRPr="00FF0DAC" w:rsidRDefault="00720F7D" w:rsidP="00D33047">
            <w:r w:rsidRPr="00FF0DAC">
              <w:t>10</w:t>
            </w:r>
          </w:p>
        </w:tc>
      </w:tr>
      <w:tr w:rsidR="00720F7D" w:rsidRPr="00FF0DAC" w14:paraId="40D5A6ED" w14:textId="77777777" w:rsidTr="00D33047">
        <w:trPr>
          <w:tblCellSpacing w:w="15" w:type="dxa"/>
        </w:trPr>
        <w:tc>
          <w:tcPr>
            <w:tcW w:w="0" w:type="auto"/>
            <w:vAlign w:val="center"/>
            <w:hideMark/>
          </w:tcPr>
          <w:p w14:paraId="4DBE1327" w14:textId="77777777" w:rsidR="00720F7D" w:rsidRPr="00FF0DAC" w:rsidRDefault="00720F7D" w:rsidP="00D33047">
            <w:r w:rsidRPr="00FF0DAC">
              <w:t>Benutzerhandbücher bei EDV-Buchführung</w:t>
            </w:r>
          </w:p>
        </w:tc>
        <w:tc>
          <w:tcPr>
            <w:tcW w:w="0" w:type="auto"/>
            <w:vAlign w:val="center"/>
            <w:hideMark/>
          </w:tcPr>
          <w:p w14:paraId="0FF18DB2" w14:textId="77777777" w:rsidR="00720F7D" w:rsidRPr="00FF0DAC" w:rsidRDefault="00720F7D" w:rsidP="00D33047">
            <w:r w:rsidRPr="00FF0DAC">
              <w:t>10</w:t>
            </w:r>
          </w:p>
        </w:tc>
      </w:tr>
      <w:tr w:rsidR="00720F7D" w:rsidRPr="00FF0DAC" w14:paraId="4182FE9D" w14:textId="77777777" w:rsidTr="00D33047">
        <w:trPr>
          <w:tblCellSpacing w:w="15" w:type="dxa"/>
        </w:trPr>
        <w:tc>
          <w:tcPr>
            <w:tcW w:w="0" w:type="auto"/>
            <w:vAlign w:val="center"/>
            <w:hideMark/>
          </w:tcPr>
          <w:p w14:paraId="5F71B3F4" w14:textId="77777777" w:rsidR="00720F7D" w:rsidRPr="00FF0DAC" w:rsidRDefault="00720F7D" w:rsidP="00D33047">
            <w:r w:rsidRPr="00FF0DAC">
              <w:t>Betriebsabrechnungsbögen mit Belegen als Bewertungsgrundlagen</w:t>
            </w:r>
          </w:p>
        </w:tc>
        <w:tc>
          <w:tcPr>
            <w:tcW w:w="0" w:type="auto"/>
            <w:vAlign w:val="center"/>
            <w:hideMark/>
          </w:tcPr>
          <w:p w14:paraId="28117A06" w14:textId="77777777" w:rsidR="00720F7D" w:rsidRPr="00FF0DAC" w:rsidRDefault="00720F7D" w:rsidP="00D33047">
            <w:r w:rsidRPr="00FF0DAC">
              <w:t>10</w:t>
            </w:r>
          </w:p>
        </w:tc>
      </w:tr>
      <w:tr w:rsidR="00720F7D" w:rsidRPr="00FF0DAC" w14:paraId="43BA592E" w14:textId="77777777" w:rsidTr="00D33047">
        <w:trPr>
          <w:tblCellSpacing w:w="15" w:type="dxa"/>
        </w:trPr>
        <w:tc>
          <w:tcPr>
            <w:tcW w:w="0" w:type="auto"/>
            <w:vAlign w:val="center"/>
            <w:hideMark/>
          </w:tcPr>
          <w:p w14:paraId="596E9CFB" w14:textId="77777777" w:rsidR="00720F7D" w:rsidRPr="00FF0DAC" w:rsidRDefault="00720F7D" w:rsidP="00D33047">
            <w:r w:rsidRPr="00FF0DAC">
              <w:t>Betriebskostenrechnungen</w:t>
            </w:r>
          </w:p>
        </w:tc>
        <w:tc>
          <w:tcPr>
            <w:tcW w:w="0" w:type="auto"/>
            <w:vAlign w:val="center"/>
            <w:hideMark/>
          </w:tcPr>
          <w:p w14:paraId="0389421F" w14:textId="77777777" w:rsidR="00720F7D" w:rsidRPr="00FF0DAC" w:rsidRDefault="00720F7D" w:rsidP="00D33047">
            <w:r w:rsidRPr="00FF0DAC">
              <w:t>10</w:t>
            </w:r>
          </w:p>
        </w:tc>
      </w:tr>
      <w:tr w:rsidR="00720F7D" w:rsidRPr="00FF0DAC" w14:paraId="62DE72BA" w14:textId="77777777" w:rsidTr="00D33047">
        <w:trPr>
          <w:tblCellSpacing w:w="15" w:type="dxa"/>
        </w:trPr>
        <w:tc>
          <w:tcPr>
            <w:tcW w:w="0" w:type="auto"/>
            <w:vAlign w:val="center"/>
            <w:hideMark/>
          </w:tcPr>
          <w:p w14:paraId="5EFC2335" w14:textId="77777777" w:rsidR="00720F7D" w:rsidRPr="00FF0DAC" w:rsidRDefault="00720F7D" w:rsidP="00D33047">
            <w:r w:rsidRPr="00FF0DAC">
              <w:t>Betriebsprüfungsberichte (steuerliche Außenprüfung)</w:t>
            </w:r>
          </w:p>
        </w:tc>
        <w:tc>
          <w:tcPr>
            <w:tcW w:w="0" w:type="auto"/>
            <w:vAlign w:val="center"/>
            <w:hideMark/>
          </w:tcPr>
          <w:p w14:paraId="09DF9EDE" w14:textId="77777777" w:rsidR="00720F7D" w:rsidRPr="00FF0DAC" w:rsidRDefault="00720F7D" w:rsidP="00D33047">
            <w:r w:rsidRPr="00FF0DAC">
              <w:t>6</w:t>
            </w:r>
          </w:p>
        </w:tc>
      </w:tr>
      <w:tr w:rsidR="00720F7D" w:rsidRPr="00FF0DAC" w14:paraId="1D6839FD" w14:textId="77777777" w:rsidTr="00D33047">
        <w:trPr>
          <w:tblCellSpacing w:w="15" w:type="dxa"/>
        </w:trPr>
        <w:tc>
          <w:tcPr>
            <w:tcW w:w="0" w:type="auto"/>
            <w:vAlign w:val="center"/>
            <w:hideMark/>
          </w:tcPr>
          <w:p w14:paraId="0AE43FBC" w14:textId="77777777" w:rsidR="00720F7D" w:rsidRPr="00FF0DAC" w:rsidRDefault="00720F7D" w:rsidP="00D33047">
            <w:r w:rsidRPr="00FF0DAC">
              <w:t>Bewertungsunterlagen</w:t>
            </w:r>
          </w:p>
        </w:tc>
        <w:tc>
          <w:tcPr>
            <w:tcW w:w="0" w:type="auto"/>
            <w:vAlign w:val="center"/>
            <w:hideMark/>
          </w:tcPr>
          <w:p w14:paraId="716DD3EE" w14:textId="77777777" w:rsidR="00720F7D" w:rsidRPr="00FF0DAC" w:rsidRDefault="00720F7D" w:rsidP="00D33047">
            <w:r w:rsidRPr="00FF0DAC">
              <w:t>10</w:t>
            </w:r>
          </w:p>
        </w:tc>
      </w:tr>
      <w:tr w:rsidR="00720F7D" w:rsidRPr="00FF0DAC" w14:paraId="0C350DBE" w14:textId="77777777" w:rsidTr="00D33047">
        <w:trPr>
          <w:tblCellSpacing w:w="15" w:type="dxa"/>
        </w:trPr>
        <w:tc>
          <w:tcPr>
            <w:tcW w:w="0" w:type="auto"/>
            <w:vAlign w:val="center"/>
            <w:hideMark/>
          </w:tcPr>
          <w:p w14:paraId="4285615F" w14:textId="77777777" w:rsidR="00720F7D" w:rsidRPr="00FF0DAC" w:rsidRDefault="00720F7D" w:rsidP="00D33047">
            <w:r w:rsidRPr="00FF0DAC">
              <w:t>Bewirtungsunterlagen (Formblatt, wenn Buchungsbelege oder steuerlich erforderlich)</w:t>
            </w:r>
          </w:p>
        </w:tc>
        <w:tc>
          <w:tcPr>
            <w:tcW w:w="0" w:type="auto"/>
            <w:vAlign w:val="center"/>
            <w:hideMark/>
          </w:tcPr>
          <w:p w14:paraId="11F557C6" w14:textId="77777777" w:rsidR="00720F7D" w:rsidRPr="00FF0DAC" w:rsidRDefault="00720F7D" w:rsidP="00D33047">
            <w:r w:rsidRPr="00FF0DAC">
              <w:t>10</w:t>
            </w:r>
          </w:p>
        </w:tc>
      </w:tr>
      <w:tr w:rsidR="00720F7D" w:rsidRPr="00FF0DAC" w14:paraId="0D7833F3" w14:textId="77777777" w:rsidTr="00D33047">
        <w:trPr>
          <w:tblCellSpacing w:w="15" w:type="dxa"/>
        </w:trPr>
        <w:tc>
          <w:tcPr>
            <w:tcW w:w="0" w:type="auto"/>
            <w:vAlign w:val="center"/>
            <w:hideMark/>
          </w:tcPr>
          <w:p w14:paraId="6A5CD816" w14:textId="77777777" w:rsidR="00720F7D" w:rsidRPr="00FF0DAC" w:rsidRDefault="00720F7D" w:rsidP="00D33047">
            <w:r w:rsidRPr="00FF0DAC">
              <w:t>Bilanzen (auch Eröffnungsbilanz)</w:t>
            </w:r>
          </w:p>
        </w:tc>
        <w:tc>
          <w:tcPr>
            <w:tcW w:w="0" w:type="auto"/>
            <w:vAlign w:val="center"/>
            <w:hideMark/>
          </w:tcPr>
          <w:p w14:paraId="06DAA853" w14:textId="77777777" w:rsidR="00720F7D" w:rsidRPr="00FF0DAC" w:rsidRDefault="00720F7D" w:rsidP="00D33047">
            <w:r w:rsidRPr="00FF0DAC">
              <w:t>10</w:t>
            </w:r>
          </w:p>
        </w:tc>
      </w:tr>
      <w:tr w:rsidR="00720F7D" w:rsidRPr="00FF0DAC" w14:paraId="6B65A440" w14:textId="77777777" w:rsidTr="00D33047">
        <w:trPr>
          <w:tblCellSpacing w:w="15" w:type="dxa"/>
        </w:trPr>
        <w:tc>
          <w:tcPr>
            <w:tcW w:w="0" w:type="auto"/>
            <w:vAlign w:val="center"/>
            <w:hideMark/>
          </w:tcPr>
          <w:p w14:paraId="576DA2CE" w14:textId="77777777" w:rsidR="00720F7D" w:rsidRPr="00FF0DAC" w:rsidRDefault="00720F7D" w:rsidP="00D33047">
            <w:r w:rsidRPr="00FF0DAC">
              <w:t xml:space="preserve">Blockdiagramme, soweit </w:t>
            </w:r>
            <w:proofErr w:type="spellStart"/>
            <w:r w:rsidRPr="00FF0DAC">
              <w:t>Verfahrendokumentation</w:t>
            </w:r>
            <w:proofErr w:type="spellEnd"/>
          </w:p>
        </w:tc>
        <w:tc>
          <w:tcPr>
            <w:tcW w:w="0" w:type="auto"/>
            <w:vAlign w:val="center"/>
            <w:hideMark/>
          </w:tcPr>
          <w:p w14:paraId="240B9526" w14:textId="77777777" w:rsidR="00720F7D" w:rsidRPr="00FF0DAC" w:rsidRDefault="00720F7D" w:rsidP="00D33047">
            <w:r w:rsidRPr="00FF0DAC">
              <w:t>10</w:t>
            </w:r>
          </w:p>
        </w:tc>
      </w:tr>
      <w:tr w:rsidR="00720F7D" w:rsidRPr="00FF0DAC" w14:paraId="74AC2BDA" w14:textId="77777777" w:rsidTr="00D33047">
        <w:trPr>
          <w:tblCellSpacing w:w="15" w:type="dxa"/>
        </w:trPr>
        <w:tc>
          <w:tcPr>
            <w:tcW w:w="0" w:type="auto"/>
            <w:vAlign w:val="center"/>
            <w:hideMark/>
          </w:tcPr>
          <w:p w14:paraId="355B1619" w14:textId="77777777" w:rsidR="00720F7D" w:rsidRPr="00FF0DAC" w:rsidRDefault="00720F7D" w:rsidP="00D33047">
            <w:r w:rsidRPr="00FF0DAC">
              <w:t>Buchungsbelege</w:t>
            </w:r>
          </w:p>
        </w:tc>
        <w:tc>
          <w:tcPr>
            <w:tcW w:w="0" w:type="auto"/>
            <w:vAlign w:val="center"/>
            <w:hideMark/>
          </w:tcPr>
          <w:p w14:paraId="026B97D3" w14:textId="77777777" w:rsidR="00720F7D" w:rsidRPr="00FF0DAC" w:rsidRDefault="00720F7D" w:rsidP="00D33047">
            <w:r w:rsidRPr="00FF0DAC">
              <w:t>10</w:t>
            </w:r>
          </w:p>
        </w:tc>
      </w:tr>
      <w:tr w:rsidR="00720F7D" w:rsidRPr="00FF0DAC" w14:paraId="050DB566" w14:textId="77777777" w:rsidTr="00D33047">
        <w:trPr>
          <w:tblCellSpacing w:w="15" w:type="dxa"/>
        </w:trPr>
        <w:tc>
          <w:tcPr>
            <w:tcW w:w="0" w:type="auto"/>
            <w:vAlign w:val="center"/>
            <w:hideMark/>
          </w:tcPr>
          <w:p w14:paraId="0C1B3EDD" w14:textId="77777777" w:rsidR="00720F7D" w:rsidRPr="00FF0DAC" w:rsidRDefault="00720F7D" w:rsidP="00D33047">
            <w:r w:rsidRPr="00FF0DAC">
              <w:rPr>
                <w:b/>
                <w:bCs/>
              </w:rPr>
              <w:t>D</w:t>
            </w:r>
            <w:r w:rsidRPr="00FF0DAC">
              <w:t>arlehensunterlagen (nach Vertragsende)</w:t>
            </w:r>
          </w:p>
          <w:p w14:paraId="0C4767A6" w14:textId="77777777" w:rsidR="00720F7D" w:rsidRPr="00FF0DAC" w:rsidRDefault="00720F7D" w:rsidP="00D33047">
            <w:r w:rsidRPr="00FF0DAC">
              <w:t>als Buchungsbeleg</w:t>
            </w:r>
          </w:p>
        </w:tc>
        <w:tc>
          <w:tcPr>
            <w:tcW w:w="0" w:type="auto"/>
            <w:vAlign w:val="center"/>
            <w:hideMark/>
          </w:tcPr>
          <w:p w14:paraId="2A600A19" w14:textId="77777777" w:rsidR="00720F7D" w:rsidRPr="00FF0DAC" w:rsidRDefault="00720F7D" w:rsidP="00D33047">
            <w:r w:rsidRPr="00FF0DAC">
              <w:t>6</w:t>
            </w:r>
          </w:p>
          <w:p w14:paraId="41701CCD" w14:textId="77777777" w:rsidR="00720F7D" w:rsidRPr="00FF0DAC" w:rsidRDefault="00720F7D" w:rsidP="00D33047">
            <w:r w:rsidRPr="00FF0DAC">
              <w:t>10</w:t>
            </w:r>
          </w:p>
        </w:tc>
      </w:tr>
      <w:tr w:rsidR="00720F7D" w:rsidRPr="00FF0DAC" w14:paraId="3F972B2F" w14:textId="77777777" w:rsidTr="00D33047">
        <w:trPr>
          <w:tblCellSpacing w:w="15" w:type="dxa"/>
        </w:trPr>
        <w:tc>
          <w:tcPr>
            <w:tcW w:w="0" w:type="auto"/>
            <w:vAlign w:val="center"/>
            <w:hideMark/>
          </w:tcPr>
          <w:p w14:paraId="79F4C41F" w14:textId="77777777" w:rsidR="00720F7D" w:rsidRPr="00FF0DAC" w:rsidRDefault="00720F7D" w:rsidP="00D33047">
            <w:r w:rsidRPr="00FF0DAC">
              <w:t>Dauerauftragsunterlagen (nach Ablauf des Auftrags)</w:t>
            </w:r>
          </w:p>
        </w:tc>
        <w:tc>
          <w:tcPr>
            <w:tcW w:w="0" w:type="auto"/>
            <w:vAlign w:val="center"/>
            <w:hideMark/>
          </w:tcPr>
          <w:p w14:paraId="3E14D0B3" w14:textId="77777777" w:rsidR="00720F7D" w:rsidRPr="00FF0DAC" w:rsidRDefault="00720F7D" w:rsidP="00D33047">
            <w:r w:rsidRPr="00FF0DAC">
              <w:t>10</w:t>
            </w:r>
          </w:p>
        </w:tc>
      </w:tr>
      <w:tr w:rsidR="00720F7D" w:rsidRPr="00FF0DAC" w14:paraId="444EEC15" w14:textId="77777777" w:rsidTr="00D33047">
        <w:trPr>
          <w:tblCellSpacing w:w="15" w:type="dxa"/>
        </w:trPr>
        <w:tc>
          <w:tcPr>
            <w:tcW w:w="0" w:type="auto"/>
            <w:vAlign w:val="center"/>
            <w:hideMark/>
          </w:tcPr>
          <w:p w14:paraId="256080D8" w14:textId="77777777" w:rsidR="00720F7D" w:rsidRPr="00FF0DAC" w:rsidRDefault="00720F7D" w:rsidP="00D33047">
            <w:r w:rsidRPr="00FF0DAC">
              <w:t>Dateien, Beschreibungen der</w:t>
            </w:r>
          </w:p>
        </w:tc>
        <w:tc>
          <w:tcPr>
            <w:tcW w:w="0" w:type="auto"/>
            <w:vAlign w:val="center"/>
            <w:hideMark/>
          </w:tcPr>
          <w:p w14:paraId="023B9EFC" w14:textId="77777777" w:rsidR="00720F7D" w:rsidRPr="00FF0DAC" w:rsidRDefault="00720F7D" w:rsidP="00D33047">
            <w:r w:rsidRPr="00FF0DAC">
              <w:t>10</w:t>
            </w:r>
          </w:p>
        </w:tc>
      </w:tr>
      <w:tr w:rsidR="00720F7D" w:rsidRPr="00FF0DAC" w14:paraId="56B3ADC5" w14:textId="77777777" w:rsidTr="00D33047">
        <w:trPr>
          <w:tblCellSpacing w:w="15" w:type="dxa"/>
        </w:trPr>
        <w:tc>
          <w:tcPr>
            <w:tcW w:w="0" w:type="auto"/>
            <w:vAlign w:val="center"/>
            <w:hideMark/>
          </w:tcPr>
          <w:p w14:paraId="22C3C6DD" w14:textId="77777777" w:rsidR="00720F7D" w:rsidRPr="00FF0DAC" w:rsidRDefault="00720F7D" w:rsidP="00D33047">
            <w:r w:rsidRPr="00FF0DAC">
              <w:t>Dateiverzeichnisse</w:t>
            </w:r>
          </w:p>
        </w:tc>
        <w:tc>
          <w:tcPr>
            <w:tcW w:w="0" w:type="auto"/>
            <w:vAlign w:val="center"/>
            <w:hideMark/>
          </w:tcPr>
          <w:p w14:paraId="4BB0BF9C" w14:textId="77777777" w:rsidR="00720F7D" w:rsidRPr="00FF0DAC" w:rsidRDefault="00720F7D" w:rsidP="00D33047">
            <w:r w:rsidRPr="00FF0DAC">
              <w:t>10</w:t>
            </w:r>
          </w:p>
        </w:tc>
      </w:tr>
      <w:tr w:rsidR="00720F7D" w:rsidRPr="00FF0DAC" w14:paraId="1D66A329" w14:textId="77777777" w:rsidTr="00D33047">
        <w:trPr>
          <w:tblCellSpacing w:w="15" w:type="dxa"/>
        </w:trPr>
        <w:tc>
          <w:tcPr>
            <w:tcW w:w="0" w:type="auto"/>
            <w:vAlign w:val="center"/>
            <w:hideMark/>
          </w:tcPr>
          <w:p w14:paraId="461E4033" w14:textId="77777777" w:rsidR="00720F7D" w:rsidRPr="00FF0DAC" w:rsidRDefault="00720F7D" w:rsidP="00D33047">
            <w:r w:rsidRPr="00FF0DAC">
              <w:t>Datensätze, Beschreibung und Aufbau der</w:t>
            </w:r>
          </w:p>
        </w:tc>
        <w:tc>
          <w:tcPr>
            <w:tcW w:w="0" w:type="auto"/>
            <w:vAlign w:val="center"/>
            <w:hideMark/>
          </w:tcPr>
          <w:p w14:paraId="1191B202" w14:textId="77777777" w:rsidR="00720F7D" w:rsidRPr="00FF0DAC" w:rsidRDefault="00720F7D" w:rsidP="00D33047">
            <w:r w:rsidRPr="00FF0DAC">
              <w:t>10</w:t>
            </w:r>
          </w:p>
        </w:tc>
      </w:tr>
      <w:tr w:rsidR="00720F7D" w:rsidRPr="00FF0DAC" w14:paraId="20FDBB8F" w14:textId="77777777" w:rsidTr="00D33047">
        <w:trPr>
          <w:tblCellSpacing w:w="15" w:type="dxa"/>
        </w:trPr>
        <w:tc>
          <w:tcPr>
            <w:tcW w:w="0" w:type="auto"/>
            <w:vAlign w:val="center"/>
            <w:hideMark/>
          </w:tcPr>
          <w:p w14:paraId="058E2AB9" w14:textId="77777777" w:rsidR="00720F7D" w:rsidRPr="00FF0DAC" w:rsidRDefault="00720F7D" w:rsidP="00D33047">
            <w:r w:rsidRPr="00FF0DAC">
              <w:t>Datensicherungsregeln</w:t>
            </w:r>
          </w:p>
        </w:tc>
        <w:tc>
          <w:tcPr>
            <w:tcW w:w="0" w:type="auto"/>
            <w:vAlign w:val="center"/>
            <w:hideMark/>
          </w:tcPr>
          <w:p w14:paraId="3A09B1FB" w14:textId="77777777" w:rsidR="00720F7D" w:rsidRPr="00FF0DAC" w:rsidRDefault="00720F7D" w:rsidP="00D33047">
            <w:r w:rsidRPr="00FF0DAC">
              <w:t>10</w:t>
            </w:r>
          </w:p>
        </w:tc>
      </w:tr>
      <w:tr w:rsidR="00720F7D" w:rsidRPr="00FF0DAC" w14:paraId="208958CF" w14:textId="77777777" w:rsidTr="00D33047">
        <w:trPr>
          <w:tblCellSpacing w:w="15" w:type="dxa"/>
        </w:trPr>
        <w:tc>
          <w:tcPr>
            <w:tcW w:w="0" w:type="auto"/>
            <w:vAlign w:val="center"/>
            <w:hideMark/>
          </w:tcPr>
          <w:p w14:paraId="41111A77" w14:textId="77777777" w:rsidR="00720F7D" w:rsidRPr="00FF0DAC" w:rsidRDefault="00720F7D" w:rsidP="00D33047">
            <w:r w:rsidRPr="00FF0DAC">
              <w:t>Debitorenliste (soweit Bilanzunterlage)</w:t>
            </w:r>
          </w:p>
        </w:tc>
        <w:tc>
          <w:tcPr>
            <w:tcW w:w="0" w:type="auto"/>
            <w:vAlign w:val="center"/>
            <w:hideMark/>
          </w:tcPr>
          <w:p w14:paraId="483125F1" w14:textId="77777777" w:rsidR="00720F7D" w:rsidRPr="00FF0DAC" w:rsidRDefault="00720F7D" w:rsidP="00D33047">
            <w:r w:rsidRPr="00FF0DAC">
              <w:t>10</w:t>
            </w:r>
          </w:p>
        </w:tc>
      </w:tr>
      <w:tr w:rsidR="00720F7D" w:rsidRPr="00FF0DAC" w14:paraId="5ED53B60" w14:textId="77777777" w:rsidTr="00D33047">
        <w:trPr>
          <w:tblCellSpacing w:w="15" w:type="dxa"/>
        </w:trPr>
        <w:tc>
          <w:tcPr>
            <w:tcW w:w="0" w:type="auto"/>
            <w:vAlign w:val="center"/>
            <w:hideMark/>
          </w:tcPr>
          <w:p w14:paraId="5020B0E6" w14:textId="77777777" w:rsidR="00720F7D" w:rsidRPr="00FF0DAC" w:rsidRDefault="00720F7D" w:rsidP="00D33047">
            <w:r w:rsidRPr="00FF0DAC">
              <w:t>Depotauszüge (soweit nicht Inventare)</w:t>
            </w:r>
          </w:p>
        </w:tc>
        <w:tc>
          <w:tcPr>
            <w:tcW w:w="0" w:type="auto"/>
            <w:vAlign w:val="center"/>
            <w:hideMark/>
          </w:tcPr>
          <w:p w14:paraId="112F4E22" w14:textId="77777777" w:rsidR="00720F7D" w:rsidRPr="00FF0DAC" w:rsidRDefault="00720F7D" w:rsidP="00D33047">
            <w:r w:rsidRPr="00FF0DAC">
              <w:t>10</w:t>
            </w:r>
          </w:p>
        </w:tc>
      </w:tr>
      <w:tr w:rsidR="00720F7D" w:rsidRPr="00FF0DAC" w14:paraId="25B0199B" w14:textId="77777777" w:rsidTr="00D33047">
        <w:trPr>
          <w:tblCellSpacing w:w="15" w:type="dxa"/>
        </w:trPr>
        <w:tc>
          <w:tcPr>
            <w:tcW w:w="0" w:type="auto"/>
            <w:vAlign w:val="center"/>
            <w:hideMark/>
          </w:tcPr>
          <w:p w14:paraId="3553C797" w14:textId="77777777" w:rsidR="00720F7D" w:rsidRPr="00FF0DAC" w:rsidRDefault="00720F7D" w:rsidP="00D33047">
            <w:r w:rsidRPr="00FF0DAC">
              <w:rPr>
                <w:b/>
                <w:bCs/>
              </w:rPr>
              <w:t>E</w:t>
            </w:r>
            <w:r w:rsidRPr="00FF0DAC">
              <w:t>infuhrunterlagen (Anträge, Genehmigungen, Erklärungen,</w:t>
            </w:r>
          </w:p>
          <w:p w14:paraId="6A1CAD0A" w14:textId="77777777" w:rsidR="00720F7D" w:rsidRPr="00FF0DAC" w:rsidRDefault="00720F7D" w:rsidP="00D33047">
            <w:r w:rsidRPr="00FF0DAC">
              <w:t>Lizenzen, Zollunterlagen etc.)</w:t>
            </w:r>
          </w:p>
        </w:tc>
        <w:tc>
          <w:tcPr>
            <w:tcW w:w="0" w:type="auto"/>
            <w:vAlign w:val="center"/>
            <w:hideMark/>
          </w:tcPr>
          <w:p w14:paraId="692759E2" w14:textId="77777777" w:rsidR="00720F7D" w:rsidRPr="00FF0DAC" w:rsidRDefault="00720F7D" w:rsidP="00D33047">
            <w:r w:rsidRPr="00FF0DAC">
              <w:t>10</w:t>
            </w:r>
          </w:p>
        </w:tc>
      </w:tr>
      <w:tr w:rsidR="00720F7D" w:rsidRPr="00FF0DAC" w14:paraId="40BDB6BA" w14:textId="77777777" w:rsidTr="00D33047">
        <w:trPr>
          <w:tblCellSpacing w:w="15" w:type="dxa"/>
        </w:trPr>
        <w:tc>
          <w:tcPr>
            <w:tcW w:w="0" w:type="auto"/>
            <w:vAlign w:val="center"/>
            <w:hideMark/>
          </w:tcPr>
          <w:p w14:paraId="6FD3155D" w14:textId="77777777" w:rsidR="00720F7D" w:rsidRPr="00FF0DAC" w:rsidRDefault="00720F7D" w:rsidP="00D33047">
            <w:r w:rsidRPr="00FF0DAC">
              <w:lastRenderedPageBreak/>
              <w:t>Eingabebeschreibungen bei EDV-Buchführung</w:t>
            </w:r>
          </w:p>
        </w:tc>
        <w:tc>
          <w:tcPr>
            <w:tcW w:w="0" w:type="auto"/>
            <w:vAlign w:val="center"/>
            <w:hideMark/>
          </w:tcPr>
          <w:p w14:paraId="0FE78A9F" w14:textId="77777777" w:rsidR="00720F7D" w:rsidRPr="00FF0DAC" w:rsidRDefault="00720F7D" w:rsidP="00D33047">
            <w:r w:rsidRPr="00FF0DAC">
              <w:t>10</w:t>
            </w:r>
          </w:p>
        </w:tc>
      </w:tr>
      <w:tr w:rsidR="00720F7D" w:rsidRPr="00FF0DAC" w14:paraId="71089649" w14:textId="77777777" w:rsidTr="00D33047">
        <w:trPr>
          <w:tblCellSpacing w:w="15" w:type="dxa"/>
        </w:trPr>
        <w:tc>
          <w:tcPr>
            <w:tcW w:w="0" w:type="auto"/>
            <w:vAlign w:val="center"/>
            <w:hideMark/>
          </w:tcPr>
          <w:p w14:paraId="4917C38E" w14:textId="77777777" w:rsidR="00720F7D" w:rsidRPr="00FF0DAC" w:rsidRDefault="00720F7D" w:rsidP="00D33047">
            <w:r w:rsidRPr="00FF0DAC">
              <w:t>Eingabedatenformate</w:t>
            </w:r>
          </w:p>
        </w:tc>
        <w:tc>
          <w:tcPr>
            <w:tcW w:w="0" w:type="auto"/>
            <w:vAlign w:val="center"/>
            <w:hideMark/>
          </w:tcPr>
          <w:p w14:paraId="2FB5EB17" w14:textId="77777777" w:rsidR="00720F7D" w:rsidRPr="00FF0DAC" w:rsidRDefault="00720F7D" w:rsidP="00D33047">
            <w:r w:rsidRPr="00FF0DAC">
              <w:t>10</w:t>
            </w:r>
          </w:p>
        </w:tc>
      </w:tr>
      <w:tr w:rsidR="00720F7D" w:rsidRPr="00FF0DAC" w14:paraId="2B251AF4" w14:textId="77777777" w:rsidTr="00D33047">
        <w:trPr>
          <w:tblCellSpacing w:w="15" w:type="dxa"/>
        </w:trPr>
        <w:tc>
          <w:tcPr>
            <w:tcW w:w="0" w:type="auto"/>
            <w:vAlign w:val="center"/>
            <w:hideMark/>
          </w:tcPr>
          <w:p w14:paraId="717A72EA" w14:textId="77777777" w:rsidR="00720F7D" w:rsidRPr="00FF0DAC" w:rsidRDefault="00720F7D" w:rsidP="00D33047">
            <w:r w:rsidRPr="00FF0DAC">
              <w:t>Eingangsrechnungen einschließlich Berichtigungsbelege dazu</w:t>
            </w:r>
          </w:p>
        </w:tc>
        <w:tc>
          <w:tcPr>
            <w:tcW w:w="0" w:type="auto"/>
            <w:vAlign w:val="center"/>
            <w:hideMark/>
          </w:tcPr>
          <w:p w14:paraId="019779B7" w14:textId="77777777" w:rsidR="00720F7D" w:rsidRPr="00FF0DAC" w:rsidRDefault="00720F7D" w:rsidP="00D33047">
            <w:r w:rsidRPr="00FF0DAC">
              <w:t>10</w:t>
            </w:r>
          </w:p>
        </w:tc>
      </w:tr>
      <w:tr w:rsidR="00720F7D" w:rsidRPr="00FF0DAC" w14:paraId="71C758CA" w14:textId="77777777" w:rsidTr="00D33047">
        <w:trPr>
          <w:tblCellSpacing w:w="15" w:type="dxa"/>
        </w:trPr>
        <w:tc>
          <w:tcPr>
            <w:tcW w:w="0" w:type="auto"/>
            <w:vAlign w:val="center"/>
            <w:hideMark/>
          </w:tcPr>
          <w:p w14:paraId="4987C255" w14:textId="77777777" w:rsidR="00720F7D" w:rsidRPr="00FF0DAC" w:rsidRDefault="00720F7D" w:rsidP="00D33047">
            <w:r w:rsidRPr="00FF0DAC">
              <w:t>Einheitswertunterlagen</w:t>
            </w:r>
          </w:p>
        </w:tc>
        <w:tc>
          <w:tcPr>
            <w:tcW w:w="0" w:type="auto"/>
            <w:vAlign w:val="center"/>
            <w:hideMark/>
          </w:tcPr>
          <w:p w14:paraId="783704FD" w14:textId="77777777" w:rsidR="00720F7D" w:rsidRPr="00FF0DAC" w:rsidRDefault="00720F7D" w:rsidP="00D33047">
            <w:r w:rsidRPr="00FF0DAC">
              <w:t>10</w:t>
            </w:r>
          </w:p>
        </w:tc>
      </w:tr>
      <w:tr w:rsidR="00720F7D" w:rsidRPr="00FF0DAC" w14:paraId="54585BA4" w14:textId="77777777" w:rsidTr="00D33047">
        <w:trPr>
          <w:tblCellSpacing w:w="15" w:type="dxa"/>
        </w:trPr>
        <w:tc>
          <w:tcPr>
            <w:tcW w:w="0" w:type="auto"/>
            <w:vAlign w:val="center"/>
            <w:hideMark/>
          </w:tcPr>
          <w:p w14:paraId="07A63965" w14:textId="77777777" w:rsidR="00720F7D" w:rsidRPr="00FF0DAC" w:rsidRDefault="00720F7D" w:rsidP="00D33047">
            <w:r w:rsidRPr="00FF0DAC">
              <w:t>Essensmarkenabrechnungen</w:t>
            </w:r>
          </w:p>
        </w:tc>
        <w:tc>
          <w:tcPr>
            <w:tcW w:w="0" w:type="auto"/>
            <w:vAlign w:val="center"/>
            <w:hideMark/>
          </w:tcPr>
          <w:p w14:paraId="0EF47C7C" w14:textId="77777777" w:rsidR="00720F7D" w:rsidRPr="00FF0DAC" w:rsidRDefault="00720F7D" w:rsidP="00D33047">
            <w:r w:rsidRPr="00FF0DAC">
              <w:t>10</w:t>
            </w:r>
          </w:p>
        </w:tc>
      </w:tr>
      <w:tr w:rsidR="00720F7D" w:rsidRPr="00FF0DAC" w14:paraId="29B3557B" w14:textId="77777777" w:rsidTr="00D33047">
        <w:trPr>
          <w:tblCellSpacing w:w="15" w:type="dxa"/>
        </w:trPr>
        <w:tc>
          <w:tcPr>
            <w:tcW w:w="0" w:type="auto"/>
            <w:vAlign w:val="center"/>
            <w:hideMark/>
          </w:tcPr>
          <w:p w14:paraId="5CC07E10" w14:textId="77777777" w:rsidR="00720F7D" w:rsidRPr="00FF0DAC" w:rsidRDefault="00720F7D" w:rsidP="00D33047">
            <w:r w:rsidRPr="00FF0DAC">
              <w:t>Exportunterlagen</w:t>
            </w:r>
          </w:p>
        </w:tc>
        <w:tc>
          <w:tcPr>
            <w:tcW w:w="0" w:type="auto"/>
            <w:vAlign w:val="center"/>
            <w:hideMark/>
          </w:tcPr>
          <w:p w14:paraId="5FB123B2" w14:textId="77777777" w:rsidR="00720F7D" w:rsidRPr="00FF0DAC" w:rsidRDefault="00720F7D" w:rsidP="00D33047">
            <w:r w:rsidRPr="00FF0DAC">
              <w:t>10</w:t>
            </w:r>
          </w:p>
        </w:tc>
      </w:tr>
      <w:tr w:rsidR="00720F7D" w:rsidRPr="00FF0DAC" w14:paraId="0B717802" w14:textId="77777777" w:rsidTr="00D33047">
        <w:trPr>
          <w:tblCellSpacing w:w="15" w:type="dxa"/>
        </w:trPr>
        <w:tc>
          <w:tcPr>
            <w:tcW w:w="0" w:type="auto"/>
            <w:vAlign w:val="center"/>
            <w:hideMark/>
          </w:tcPr>
          <w:p w14:paraId="5FE32626" w14:textId="77777777" w:rsidR="00720F7D" w:rsidRPr="00FF0DAC" w:rsidRDefault="00720F7D" w:rsidP="00D33047">
            <w:r w:rsidRPr="00FF0DAC">
              <w:rPr>
                <w:b/>
                <w:bCs/>
              </w:rPr>
              <w:t>F</w:t>
            </w:r>
            <w:r w:rsidRPr="00FF0DAC">
              <w:t>ahrtkostenerstattungsunterlagen</w:t>
            </w:r>
          </w:p>
        </w:tc>
        <w:tc>
          <w:tcPr>
            <w:tcW w:w="0" w:type="auto"/>
            <w:vAlign w:val="center"/>
            <w:hideMark/>
          </w:tcPr>
          <w:p w14:paraId="283B712C" w14:textId="77777777" w:rsidR="00720F7D" w:rsidRPr="00FF0DAC" w:rsidRDefault="00720F7D" w:rsidP="00D33047">
            <w:r w:rsidRPr="00FF0DAC">
              <w:t>10</w:t>
            </w:r>
          </w:p>
        </w:tc>
      </w:tr>
      <w:tr w:rsidR="00720F7D" w:rsidRPr="00FF0DAC" w14:paraId="52B72F61" w14:textId="77777777" w:rsidTr="00D33047">
        <w:trPr>
          <w:tblCellSpacing w:w="15" w:type="dxa"/>
        </w:trPr>
        <w:tc>
          <w:tcPr>
            <w:tcW w:w="0" w:type="auto"/>
            <w:vAlign w:val="center"/>
            <w:hideMark/>
          </w:tcPr>
          <w:p w14:paraId="1B15A218" w14:textId="77777777" w:rsidR="00720F7D" w:rsidRPr="00FF0DAC" w:rsidRDefault="00720F7D" w:rsidP="00D33047">
            <w:r w:rsidRPr="00FF0DAC">
              <w:t>Fehlermeldungen, Fehlerkorrekturanweisung</w:t>
            </w:r>
          </w:p>
          <w:p w14:paraId="27F8437E" w14:textId="77777777" w:rsidR="00720F7D" w:rsidRPr="00FF0DAC" w:rsidRDefault="00720F7D" w:rsidP="00D33047">
            <w:r w:rsidRPr="00FF0DAC">
              <w:t>bei EDV-Buchführung, wenn Buchungsbelege</w:t>
            </w:r>
          </w:p>
        </w:tc>
        <w:tc>
          <w:tcPr>
            <w:tcW w:w="0" w:type="auto"/>
            <w:vAlign w:val="center"/>
            <w:hideMark/>
          </w:tcPr>
          <w:p w14:paraId="7A420B44" w14:textId="77777777" w:rsidR="00720F7D" w:rsidRPr="00FF0DAC" w:rsidRDefault="00720F7D" w:rsidP="00D33047">
            <w:r w:rsidRPr="00FF0DAC">
              <w:t>10</w:t>
            </w:r>
          </w:p>
        </w:tc>
      </w:tr>
      <w:tr w:rsidR="00720F7D" w:rsidRPr="00FF0DAC" w14:paraId="565039B6" w14:textId="77777777" w:rsidTr="00D33047">
        <w:trPr>
          <w:tblCellSpacing w:w="15" w:type="dxa"/>
        </w:trPr>
        <w:tc>
          <w:tcPr>
            <w:tcW w:w="0" w:type="auto"/>
            <w:vAlign w:val="center"/>
            <w:hideMark/>
          </w:tcPr>
          <w:p w14:paraId="58A189DB" w14:textId="77777777" w:rsidR="00720F7D" w:rsidRPr="00FF0DAC" w:rsidRDefault="00720F7D" w:rsidP="00D33047">
            <w:r w:rsidRPr="00FF0DAC">
              <w:t>Frachtbriefe</w:t>
            </w:r>
          </w:p>
        </w:tc>
        <w:tc>
          <w:tcPr>
            <w:tcW w:w="0" w:type="auto"/>
            <w:vAlign w:val="center"/>
            <w:hideMark/>
          </w:tcPr>
          <w:p w14:paraId="48328CCC" w14:textId="77777777" w:rsidR="00720F7D" w:rsidRPr="00FF0DAC" w:rsidRDefault="00720F7D" w:rsidP="00D33047">
            <w:r w:rsidRPr="00FF0DAC">
              <w:t>6</w:t>
            </w:r>
          </w:p>
        </w:tc>
      </w:tr>
      <w:tr w:rsidR="00720F7D" w:rsidRPr="00FF0DAC" w14:paraId="3951F920" w14:textId="77777777" w:rsidTr="00D33047">
        <w:trPr>
          <w:tblCellSpacing w:w="15" w:type="dxa"/>
        </w:trPr>
        <w:tc>
          <w:tcPr>
            <w:tcW w:w="0" w:type="auto"/>
            <w:vAlign w:val="center"/>
            <w:hideMark/>
          </w:tcPr>
          <w:p w14:paraId="5EC2DF85" w14:textId="77777777" w:rsidR="00720F7D" w:rsidRPr="00FF0DAC" w:rsidRDefault="00720F7D" w:rsidP="00D33047">
            <w:r w:rsidRPr="00FF0DAC">
              <w:rPr>
                <w:b/>
                <w:bCs/>
              </w:rPr>
              <w:t>G</w:t>
            </w:r>
            <w:r w:rsidRPr="00FF0DAC">
              <w:t>ehaltslisten einschließlich Listen für Sonderzahlungen</w:t>
            </w:r>
          </w:p>
          <w:p w14:paraId="7505DA70" w14:textId="77777777" w:rsidR="00720F7D" w:rsidRPr="00FF0DAC" w:rsidRDefault="00720F7D" w:rsidP="00D33047">
            <w:proofErr w:type="gramStart"/>
            <w:r w:rsidRPr="00FF0DAC">
              <w:t>soweit</w:t>
            </w:r>
            <w:proofErr w:type="gramEnd"/>
            <w:r w:rsidRPr="00FF0DAC">
              <w:t xml:space="preserve"> Buchungsbeleg</w:t>
            </w:r>
          </w:p>
        </w:tc>
        <w:tc>
          <w:tcPr>
            <w:tcW w:w="0" w:type="auto"/>
            <w:vAlign w:val="center"/>
            <w:hideMark/>
          </w:tcPr>
          <w:p w14:paraId="7C99F4D1" w14:textId="77777777" w:rsidR="00720F7D" w:rsidRPr="00FF0DAC" w:rsidRDefault="00720F7D" w:rsidP="00D33047">
            <w:r w:rsidRPr="00FF0DAC">
              <w:t>10</w:t>
            </w:r>
          </w:p>
        </w:tc>
      </w:tr>
      <w:tr w:rsidR="00720F7D" w:rsidRPr="00FF0DAC" w14:paraId="5876C43F" w14:textId="77777777" w:rsidTr="00D33047">
        <w:trPr>
          <w:tblCellSpacing w:w="15" w:type="dxa"/>
        </w:trPr>
        <w:tc>
          <w:tcPr>
            <w:tcW w:w="0" w:type="auto"/>
            <w:vAlign w:val="center"/>
            <w:hideMark/>
          </w:tcPr>
          <w:p w14:paraId="18CF1C91" w14:textId="77777777" w:rsidR="00720F7D" w:rsidRPr="00FF0DAC" w:rsidRDefault="00720F7D" w:rsidP="00D33047">
            <w:r w:rsidRPr="00FF0DAC">
              <w:t>Geschäftsberichte</w:t>
            </w:r>
          </w:p>
        </w:tc>
        <w:tc>
          <w:tcPr>
            <w:tcW w:w="0" w:type="auto"/>
            <w:vAlign w:val="center"/>
            <w:hideMark/>
          </w:tcPr>
          <w:p w14:paraId="5C879548" w14:textId="77777777" w:rsidR="00720F7D" w:rsidRPr="00FF0DAC" w:rsidRDefault="00720F7D" w:rsidP="00D33047">
            <w:r w:rsidRPr="00FF0DAC">
              <w:t>10</w:t>
            </w:r>
          </w:p>
        </w:tc>
      </w:tr>
      <w:tr w:rsidR="00720F7D" w:rsidRPr="00FF0DAC" w14:paraId="4C4EFC04" w14:textId="77777777" w:rsidTr="00D33047">
        <w:trPr>
          <w:tblCellSpacing w:w="15" w:type="dxa"/>
        </w:trPr>
        <w:tc>
          <w:tcPr>
            <w:tcW w:w="0" w:type="auto"/>
            <w:vAlign w:val="center"/>
            <w:hideMark/>
          </w:tcPr>
          <w:p w14:paraId="5F537D9A" w14:textId="77777777" w:rsidR="00720F7D" w:rsidRPr="00FF0DAC" w:rsidRDefault="00720F7D" w:rsidP="00D33047">
            <w:r w:rsidRPr="00FF0DAC">
              <w:t>Geschäftsbriefe (zugegangene und Wiedergabe versandter),</w:t>
            </w:r>
          </w:p>
          <w:p w14:paraId="2106592F" w14:textId="77777777" w:rsidR="00720F7D" w:rsidRPr="00FF0DAC" w:rsidRDefault="00720F7D" w:rsidP="00D33047">
            <w:r w:rsidRPr="00FF0DAC">
              <w:t>als Buchungsbeleg wie z.B. Rechnungen und Gutschriften</w:t>
            </w:r>
          </w:p>
        </w:tc>
        <w:tc>
          <w:tcPr>
            <w:tcW w:w="0" w:type="auto"/>
            <w:vAlign w:val="center"/>
            <w:hideMark/>
          </w:tcPr>
          <w:p w14:paraId="0B982A8E" w14:textId="77777777" w:rsidR="00720F7D" w:rsidRPr="00FF0DAC" w:rsidRDefault="00720F7D" w:rsidP="00D33047">
            <w:r w:rsidRPr="00FF0DAC">
              <w:t>6</w:t>
            </w:r>
          </w:p>
          <w:p w14:paraId="67A55230" w14:textId="77777777" w:rsidR="00720F7D" w:rsidRPr="00FF0DAC" w:rsidRDefault="00720F7D" w:rsidP="00D33047">
            <w:r w:rsidRPr="00FF0DAC">
              <w:t>10</w:t>
            </w:r>
          </w:p>
        </w:tc>
      </w:tr>
      <w:tr w:rsidR="00720F7D" w:rsidRPr="00FF0DAC" w14:paraId="30F9D6D1" w14:textId="77777777" w:rsidTr="00D33047">
        <w:trPr>
          <w:tblCellSpacing w:w="15" w:type="dxa"/>
        </w:trPr>
        <w:tc>
          <w:tcPr>
            <w:tcW w:w="0" w:type="auto"/>
            <w:vAlign w:val="center"/>
            <w:hideMark/>
          </w:tcPr>
          <w:p w14:paraId="0D26F39B" w14:textId="77777777" w:rsidR="00720F7D" w:rsidRPr="00FF0DAC" w:rsidRDefault="00720F7D" w:rsidP="00D33047">
            <w:r w:rsidRPr="00FF0DAC">
              <w:t>Geschenknachweise</w:t>
            </w:r>
          </w:p>
        </w:tc>
        <w:tc>
          <w:tcPr>
            <w:tcW w:w="0" w:type="auto"/>
            <w:vAlign w:val="center"/>
            <w:hideMark/>
          </w:tcPr>
          <w:p w14:paraId="2A5C4618" w14:textId="77777777" w:rsidR="00720F7D" w:rsidRPr="00FF0DAC" w:rsidRDefault="00720F7D" w:rsidP="00D33047">
            <w:r w:rsidRPr="00FF0DAC">
              <w:t>10</w:t>
            </w:r>
          </w:p>
        </w:tc>
      </w:tr>
      <w:tr w:rsidR="00720F7D" w:rsidRPr="00FF0DAC" w14:paraId="1F9A9C1C" w14:textId="77777777" w:rsidTr="00D33047">
        <w:trPr>
          <w:tblCellSpacing w:w="15" w:type="dxa"/>
        </w:trPr>
        <w:tc>
          <w:tcPr>
            <w:tcW w:w="0" w:type="auto"/>
            <w:vAlign w:val="center"/>
            <w:hideMark/>
          </w:tcPr>
          <w:p w14:paraId="7BB2F06E" w14:textId="77777777" w:rsidR="00720F7D" w:rsidRPr="00FF0DAC" w:rsidRDefault="00720F7D" w:rsidP="00D33047">
            <w:r w:rsidRPr="00FF0DAC">
              <w:t>Gewinn- und Verlustrechnung (nur Jahreserfolgsrechnungen)</w:t>
            </w:r>
          </w:p>
        </w:tc>
        <w:tc>
          <w:tcPr>
            <w:tcW w:w="0" w:type="auto"/>
            <w:vAlign w:val="center"/>
            <w:hideMark/>
          </w:tcPr>
          <w:p w14:paraId="1ABEAA5E" w14:textId="77777777" w:rsidR="00720F7D" w:rsidRPr="00FF0DAC" w:rsidRDefault="00720F7D" w:rsidP="00D33047">
            <w:r w:rsidRPr="00FF0DAC">
              <w:t>10</w:t>
            </w:r>
          </w:p>
        </w:tc>
      </w:tr>
      <w:tr w:rsidR="00720F7D" w:rsidRPr="00FF0DAC" w14:paraId="1BBBE256" w14:textId="77777777" w:rsidTr="00D33047">
        <w:trPr>
          <w:tblCellSpacing w:w="15" w:type="dxa"/>
        </w:trPr>
        <w:tc>
          <w:tcPr>
            <w:tcW w:w="0" w:type="auto"/>
            <w:vAlign w:val="center"/>
            <w:hideMark/>
          </w:tcPr>
          <w:p w14:paraId="0963AE59" w14:textId="77777777" w:rsidR="00720F7D" w:rsidRPr="00FF0DAC" w:rsidRDefault="00720F7D" w:rsidP="00D33047">
            <w:r w:rsidRPr="00FF0DAC">
              <w:t>Grundbuchauszüge, wenn Inventurunterlagen</w:t>
            </w:r>
          </w:p>
        </w:tc>
        <w:tc>
          <w:tcPr>
            <w:tcW w:w="0" w:type="auto"/>
            <w:vAlign w:val="center"/>
            <w:hideMark/>
          </w:tcPr>
          <w:p w14:paraId="50244D72" w14:textId="77777777" w:rsidR="00720F7D" w:rsidRPr="00FF0DAC" w:rsidRDefault="00720F7D" w:rsidP="00D33047">
            <w:r w:rsidRPr="00FF0DAC">
              <w:t>10</w:t>
            </w:r>
          </w:p>
        </w:tc>
      </w:tr>
      <w:tr w:rsidR="00720F7D" w:rsidRPr="00FF0DAC" w14:paraId="2351CCDA" w14:textId="77777777" w:rsidTr="00D33047">
        <w:trPr>
          <w:tblCellSpacing w:w="15" w:type="dxa"/>
        </w:trPr>
        <w:tc>
          <w:tcPr>
            <w:tcW w:w="0" w:type="auto"/>
            <w:vAlign w:val="center"/>
            <w:hideMark/>
          </w:tcPr>
          <w:p w14:paraId="11E6C181" w14:textId="77777777" w:rsidR="00720F7D" w:rsidRPr="00FF0DAC" w:rsidRDefault="00720F7D" w:rsidP="00D33047">
            <w:r w:rsidRPr="00FF0DAC">
              <w:t>Grundstücksverzeichnis (soweit Inventar)</w:t>
            </w:r>
          </w:p>
        </w:tc>
        <w:tc>
          <w:tcPr>
            <w:tcW w:w="0" w:type="auto"/>
            <w:vAlign w:val="center"/>
            <w:hideMark/>
          </w:tcPr>
          <w:p w14:paraId="5C9A378C" w14:textId="77777777" w:rsidR="00720F7D" w:rsidRPr="00FF0DAC" w:rsidRDefault="00720F7D" w:rsidP="00D33047">
            <w:r w:rsidRPr="00FF0DAC">
              <w:t>10</w:t>
            </w:r>
          </w:p>
        </w:tc>
      </w:tr>
      <w:tr w:rsidR="00720F7D" w:rsidRPr="00FF0DAC" w14:paraId="083F3A65" w14:textId="77777777" w:rsidTr="00D33047">
        <w:trPr>
          <w:tblCellSpacing w:w="15" w:type="dxa"/>
        </w:trPr>
        <w:tc>
          <w:tcPr>
            <w:tcW w:w="0" w:type="auto"/>
            <w:vAlign w:val="center"/>
            <w:hideMark/>
          </w:tcPr>
          <w:p w14:paraId="142C9C9E" w14:textId="77777777" w:rsidR="00720F7D" w:rsidRPr="00FF0DAC" w:rsidRDefault="00720F7D" w:rsidP="00D33047">
            <w:r w:rsidRPr="00FF0DAC">
              <w:t>Gutschriften im Sinne von "umgekehrten Rechnungen"</w:t>
            </w:r>
          </w:p>
        </w:tc>
        <w:tc>
          <w:tcPr>
            <w:tcW w:w="0" w:type="auto"/>
            <w:vAlign w:val="center"/>
            <w:hideMark/>
          </w:tcPr>
          <w:p w14:paraId="0E810F93" w14:textId="77777777" w:rsidR="00720F7D" w:rsidRPr="00FF0DAC" w:rsidRDefault="00720F7D" w:rsidP="00D33047">
            <w:r w:rsidRPr="00FF0DAC">
              <w:t>10</w:t>
            </w:r>
          </w:p>
        </w:tc>
      </w:tr>
      <w:tr w:rsidR="00720F7D" w:rsidRPr="00FF0DAC" w14:paraId="5E7C3ADB" w14:textId="77777777" w:rsidTr="00D33047">
        <w:trPr>
          <w:tblCellSpacing w:w="15" w:type="dxa"/>
        </w:trPr>
        <w:tc>
          <w:tcPr>
            <w:tcW w:w="0" w:type="auto"/>
            <w:vAlign w:val="center"/>
            <w:hideMark/>
          </w:tcPr>
          <w:p w14:paraId="7CAFECCF" w14:textId="77777777" w:rsidR="00720F7D" w:rsidRPr="00FF0DAC" w:rsidRDefault="00720F7D" w:rsidP="00D33047">
            <w:r w:rsidRPr="00FF0DAC">
              <w:rPr>
                <w:b/>
                <w:bCs/>
              </w:rPr>
              <w:t>H</w:t>
            </w:r>
            <w:r w:rsidRPr="00FF0DAC">
              <w:t>andelsbriefe (außer Rechnungen oder Gutschriften)</w:t>
            </w:r>
          </w:p>
        </w:tc>
        <w:tc>
          <w:tcPr>
            <w:tcW w:w="0" w:type="auto"/>
            <w:vAlign w:val="center"/>
            <w:hideMark/>
          </w:tcPr>
          <w:p w14:paraId="041CC347" w14:textId="77777777" w:rsidR="00720F7D" w:rsidRPr="00FF0DAC" w:rsidRDefault="00720F7D" w:rsidP="00D33047">
            <w:r w:rsidRPr="00FF0DAC">
              <w:t>6</w:t>
            </w:r>
          </w:p>
        </w:tc>
      </w:tr>
      <w:tr w:rsidR="00720F7D" w:rsidRPr="00FF0DAC" w14:paraId="3BB3AD03" w14:textId="77777777" w:rsidTr="00D33047">
        <w:trPr>
          <w:tblCellSpacing w:w="15" w:type="dxa"/>
        </w:trPr>
        <w:tc>
          <w:tcPr>
            <w:tcW w:w="0" w:type="auto"/>
            <w:vAlign w:val="center"/>
            <w:hideMark/>
          </w:tcPr>
          <w:p w14:paraId="5EEAC903" w14:textId="77777777" w:rsidR="00720F7D" w:rsidRPr="00FF0DAC" w:rsidRDefault="00720F7D" w:rsidP="00D33047">
            <w:r w:rsidRPr="00FF0DAC">
              <w:t>Handelsbücher</w:t>
            </w:r>
          </w:p>
        </w:tc>
        <w:tc>
          <w:tcPr>
            <w:tcW w:w="0" w:type="auto"/>
            <w:vAlign w:val="center"/>
            <w:hideMark/>
          </w:tcPr>
          <w:p w14:paraId="702E4FAE" w14:textId="77777777" w:rsidR="00720F7D" w:rsidRPr="00FF0DAC" w:rsidRDefault="00720F7D" w:rsidP="00D33047">
            <w:r w:rsidRPr="00FF0DAC">
              <w:t>10</w:t>
            </w:r>
          </w:p>
        </w:tc>
      </w:tr>
      <w:tr w:rsidR="00720F7D" w:rsidRPr="00FF0DAC" w14:paraId="5E367EE4" w14:textId="77777777" w:rsidTr="00D33047">
        <w:trPr>
          <w:tblCellSpacing w:w="15" w:type="dxa"/>
        </w:trPr>
        <w:tc>
          <w:tcPr>
            <w:tcW w:w="0" w:type="auto"/>
            <w:vAlign w:val="center"/>
            <w:hideMark/>
          </w:tcPr>
          <w:p w14:paraId="77012E05" w14:textId="77777777" w:rsidR="00720F7D" w:rsidRPr="00FF0DAC" w:rsidRDefault="00720F7D" w:rsidP="00D33047">
            <w:r w:rsidRPr="00FF0DAC">
              <w:t>Handelsregisterauszüge,</w:t>
            </w:r>
          </w:p>
          <w:p w14:paraId="034F5F2B" w14:textId="77777777" w:rsidR="00720F7D" w:rsidRPr="00FF0DAC" w:rsidRDefault="00720F7D" w:rsidP="00D33047">
            <w:r w:rsidRPr="00FF0DAC">
              <w:t xml:space="preserve">beglaubigte oder </w:t>
            </w:r>
            <w:proofErr w:type="gramStart"/>
            <w:r w:rsidRPr="00FF0DAC">
              <w:t>soweit</w:t>
            </w:r>
            <w:proofErr w:type="gramEnd"/>
            <w:r w:rsidRPr="00FF0DAC">
              <w:t xml:space="preserve"> im eigenen Interesse erforderlich</w:t>
            </w:r>
          </w:p>
        </w:tc>
        <w:tc>
          <w:tcPr>
            <w:tcW w:w="0" w:type="auto"/>
            <w:vAlign w:val="center"/>
            <w:hideMark/>
          </w:tcPr>
          <w:p w14:paraId="1702B716" w14:textId="77777777" w:rsidR="00720F7D" w:rsidRPr="00FF0DAC" w:rsidRDefault="00720F7D" w:rsidP="00D33047">
            <w:r w:rsidRPr="00FF0DAC">
              <w:t>10</w:t>
            </w:r>
          </w:p>
        </w:tc>
      </w:tr>
      <w:tr w:rsidR="00720F7D" w:rsidRPr="00FF0DAC" w14:paraId="4EDAD86A" w14:textId="77777777" w:rsidTr="00D33047">
        <w:trPr>
          <w:tblCellSpacing w:w="15" w:type="dxa"/>
        </w:trPr>
        <w:tc>
          <w:tcPr>
            <w:tcW w:w="0" w:type="auto"/>
            <w:vAlign w:val="center"/>
            <w:hideMark/>
          </w:tcPr>
          <w:p w14:paraId="6BAECEA3" w14:textId="77777777" w:rsidR="00720F7D" w:rsidRPr="00FF0DAC" w:rsidRDefault="00720F7D" w:rsidP="00D33047">
            <w:r w:rsidRPr="00FF0DAC">
              <w:lastRenderedPageBreak/>
              <w:t>Hauptabschlussübersicht</w:t>
            </w:r>
          </w:p>
        </w:tc>
        <w:tc>
          <w:tcPr>
            <w:tcW w:w="0" w:type="auto"/>
            <w:vAlign w:val="center"/>
            <w:hideMark/>
          </w:tcPr>
          <w:p w14:paraId="2C3A2CF1" w14:textId="77777777" w:rsidR="00720F7D" w:rsidRPr="00FF0DAC" w:rsidRDefault="00720F7D" w:rsidP="00D33047">
            <w:r w:rsidRPr="00FF0DAC">
              <w:t>10</w:t>
            </w:r>
          </w:p>
        </w:tc>
      </w:tr>
      <w:tr w:rsidR="00720F7D" w:rsidRPr="00FF0DAC" w14:paraId="16B5538F" w14:textId="77777777" w:rsidTr="00D33047">
        <w:trPr>
          <w:tblCellSpacing w:w="15" w:type="dxa"/>
        </w:trPr>
        <w:tc>
          <w:tcPr>
            <w:tcW w:w="0" w:type="auto"/>
            <w:vAlign w:val="center"/>
            <w:hideMark/>
          </w:tcPr>
          <w:p w14:paraId="3CAD438F" w14:textId="77777777" w:rsidR="00720F7D" w:rsidRPr="00FF0DAC" w:rsidRDefault="00720F7D" w:rsidP="00D33047">
            <w:r w:rsidRPr="00FF0DAC">
              <w:rPr>
                <w:b/>
                <w:bCs/>
              </w:rPr>
              <w:t>I</w:t>
            </w:r>
            <w:r w:rsidRPr="00FF0DAC">
              <w:t>nventare (§ 240 HGB)</w:t>
            </w:r>
          </w:p>
        </w:tc>
        <w:tc>
          <w:tcPr>
            <w:tcW w:w="0" w:type="auto"/>
            <w:vAlign w:val="center"/>
            <w:hideMark/>
          </w:tcPr>
          <w:p w14:paraId="5E0591C0" w14:textId="77777777" w:rsidR="00720F7D" w:rsidRPr="00FF0DAC" w:rsidRDefault="00720F7D" w:rsidP="00D33047">
            <w:r w:rsidRPr="00FF0DAC">
              <w:t>10</w:t>
            </w:r>
          </w:p>
        </w:tc>
      </w:tr>
      <w:tr w:rsidR="00720F7D" w:rsidRPr="00FF0DAC" w14:paraId="52BBD568" w14:textId="77777777" w:rsidTr="00D33047">
        <w:trPr>
          <w:tblCellSpacing w:w="15" w:type="dxa"/>
        </w:trPr>
        <w:tc>
          <w:tcPr>
            <w:tcW w:w="0" w:type="auto"/>
            <w:vAlign w:val="center"/>
            <w:hideMark/>
          </w:tcPr>
          <w:p w14:paraId="45536280" w14:textId="77777777" w:rsidR="00720F7D" w:rsidRPr="00FF0DAC" w:rsidRDefault="00720F7D" w:rsidP="00D33047">
            <w:r w:rsidRPr="00FF0DAC">
              <w:t>Investitionszulage (Unterlagen)</w:t>
            </w:r>
          </w:p>
        </w:tc>
        <w:tc>
          <w:tcPr>
            <w:tcW w:w="0" w:type="auto"/>
            <w:vAlign w:val="center"/>
            <w:hideMark/>
          </w:tcPr>
          <w:p w14:paraId="2AF6A244" w14:textId="77777777" w:rsidR="00720F7D" w:rsidRPr="00FF0DAC" w:rsidRDefault="00720F7D" w:rsidP="00D33047">
            <w:r w:rsidRPr="00FF0DAC">
              <w:t>6</w:t>
            </w:r>
          </w:p>
        </w:tc>
      </w:tr>
      <w:tr w:rsidR="00720F7D" w:rsidRPr="00FF0DAC" w14:paraId="06BF015C" w14:textId="77777777" w:rsidTr="00D33047">
        <w:trPr>
          <w:tblCellSpacing w:w="15" w:type="dxa"/>
        </w:trPr>
        <w:tc>
          <w:tcPr>
            <w:tcW w:w="0" w:type="auto"/>
            <w:vAlign w:val="center"/>
            <w:hideMark/>
          </w:tcPr>
          <w:p w14:paraId="0AF6D44C" w14:textId="77777777" w:rsidR="00720F7D" w:rsidRPr="00FF0DAC" w:rsidRDefault="00720F7D" w:rsidP="00D33047">
            <w:r w:rsidRPr="00FF0DAC">
              <w:rPr>
                <w:b/>
                <w:bCs/>
              </w:rPr>
              <w:t>J</w:t>
            </w:r>
            <w:r w:rsidRPr="00FF0DAC">
              <w:t>ahresabschluss mit Erläuterungen</w:t>
            </w:r>
          </w:p>
        </w:tc>
        <w:tc>
          <w:tcPr>
            <w:tcW w:w="0" w:type="auto"/>
            <w:vAlign w:val="center"/>
            <w:hideMark/>
          </w:tcPr>
          <w:p w14:paraId="3A3B0F19" w14:textId="77777777" w:rsidR="00720F7D" w:rsidRPr="00FF0DAC" w:rsidRDefault="00720F7D" w:rsidP="00D33047">
            <w:r w:rsidRPr="00FF0DAC">
              <w:t>10</w:t>
            </w:r>
          </w:p>
        </w:tc>
      </w:tr>
      <w:tr w:rsidR="00720F7D" w:rsidRPr="00FF0DAC" w14:paraId="4BB4AA9E" w14:textId="77777777" w:rsidTr="00D33047">
        <w:trPr>
          <w:tblCellSpacing w:w="15" w:type="dxa"/>
        </w:trPr>
        <w:tc>
          <w:tcPr>
            <w:tcW w:w="0" w:type="auto"/>
            <w:vAlign w:val="center"/>
            <w:hideMark/>
          </w:tcPr>
          <w:p w14:paraId="68A3E0A4" w14:textId="77777777" w:rsidR="00720F7D" w:rsidRPr="00FF0DAC" w:rsidRDefault="00720F7D" w:rsidP="00D33047">
            <w:r w:rsidRPr="00FF0DAC">
              <w:t>Journale für Hauptbuch oder Kontokorrent</w:t>
            </w:r>
          </w:p>
        </w:tc>
        <w:tc>
          <w:tcPr>
            <w:tcW w:w="0" w:type="auto"/>
            <w:vAlign w:val="center"/>
            <w:hideMark/>
          </w:tcPr>
          <w:p w14:paraId="71EDD296" w14:textId="77777777" w:rsidR="00720F7D" w:rsidRPr="00FF0DAC" w:rsidRDefault="00720F7D" w:rsidP="00D33047">
            <w:r w:rsidRPr="00FF0DAC">
              <w:t>10</w:t>
            </w:r>
          </w:p>
        </w:tc>
      </w:tr>
      <w:tr w:rsidR="00720F7D" w:rsidRPr="00FF0DAC" w14:paraId="0F4F7DA8" w14:textId="77777777" w:rsidTr="00D33047">
        <w:trPr>
          <w:tblCellSpacing w:w="15" w:type="dxa"/>
        </w:trPr>
        <w:tc>
          <w:tcPr>
            <w:tcW w:w="0" w:type="auto"/>
            <w:vAlign w:val="center"/>
            <w:hideMark/>
          </w:tcPr>
          <w:p w14:paraId="6D025F6A" w14:textId="77777777" w:rsidR="00720F7D" w:rsidRPr="00FF0DAC" w:rsidRDefault="00720F7D" w:rsidP="00D33047">
            <w:r w:rsidRPr="00FF0DAC">
              <w:rPr>
                <w:b/>
                <w:bCs/>
              </w:rPr>
              <w:t>K</w:t>
            </w:r>
            <w:r w:rsidRPr="00FF0DAC">
              <w:t>alkulation und Kalkulationsunterlagen,</w:t>
            </w:r>
          </w:p>
          <w:p w14:paraId="0F13548E" w14:textId="77777777" w:rsidR="00720F7D" w:rsidRPr="00FF0DAC" w:rsidRDefault="00720F7D" w:rsidP="00D33047">
            <w:r w:rsidRPr="00FF0DAC">
              <w:t>wenn handels- oder steuerrechtlich relevant</w:t>
            </w:r>
          </w:p>
          <w:p w14:paraId="739F868D" w14:textId="77777777" w:rsidR="00720F7D" w:rsidRPr="00FF0DAC" w:rsidRDefault="00720F7D" w:rsidP="00D33047">
            <w:r w:rsidRPr="00FF0DAC">
              <w:t>z.B. für Vorratsbewertung</w:t>
            </w:r>
          </w:p>
        </w:tc>
        <w:tc>
          <w:tcPr>
            <w:tcW w:w="0" w:type="auto"/>
            <w:vAlign w:val="center"/>
            <w:hideMark/>
          </w:tcPr>
          <w:p w14:paraId="49F9CD8D" w14:textId="77777777" w:rsidR="00720F7D" w:rsidRPr="00FF0DAC" w:rsidRDefault="00720F7D" w:rsidP="00D33047">
            <w:r w:rsidRPr="00FF0DAC">
              <w:t>10</w:t>
            </w:r>
          </w:p>
        </w:tc>
      </w:tr>
      <w:tr w:rsidR="00720F7D" w:rsidRPr="00FF0DAC" w14:paraId="44BF19F1" w14:textId="77777777" w:rsidTr="00D33047">
        <w:trPr>
          <w:tblCellSpacing w:w="15" w:type="dxa"/>
        </w:trPr>
        <w:tc>
          <w:tcPr>
            <w:tcW w:w="0" w:type="auto"/>
            <w:vAlign w:val="center"/>
            <w:hideMark/>
          </w:tcPr>
          <w:p w14:paraId="77944AED" w14:textId="77777777" w:rsidR="00720F7D" w:rsidRPr="00FF0DAC" w:rsidRDefault="00720F7D" w:rsidP="00D33047">
            <w:r w:rsidRPr="00FF0DAC">
              <w:t>Kassenberichte</w:t>
            </w:r>
          </w:p>
        </w:tc>
        <w:tc>
          <w:tcPr>
            <w:tcW w:w="0" w:type="auto"/>
            <w:vAlign w:val="center"/>
            <w:hideMark/>
          </w:tcPr>
          <w:p w14:paraId="0F0B6F72" w14:textId="77777777" w:rsidR="00720F7D" w:rsidRPr="00FF0DAC" w:rsidRDefault="00720F7D" w:rsidP="00D33047">
            <w:r w:rsidRPr="00FF0DAC">
              <w:t>10</w:t>
            </w:r>
          </w:p>
        </w:tc>
      </w:tr>
      <w:tr w:rsidR="00720F7D" w:rsidRPr="00FF0DAC" w14:paraId="52DEC1DB" w14:textId="77777777" w:rsidTr="00D33047">
        <w:trPr>
          <w:tblCellSpacing w:w="15" w:type="dxa"/>
        </w:trPr>
        <w:tc>
          <w:tcPr>
            <w:tcW w:w="0" w:type="auto"/>
            <w:vAlign w:val="center"/>
            <w:hideMark/>
          </w:tcPr>
          <w:p w14:paraId="72530EDC" w14:textId="77777777" w:rsidR="00720F7D" w:rsidRPr="00FF0DAC" w:rsidRDefault="00720F7D" w:rsidP="00D33047">
            <w:r w:rsidRPr="00FF0DAC">
              <w:t>Kassenbücher/-blätter</w:t>
            </w:r>
          </w:p>
        </w:tc>
        <w:tc>
          <w:tcPr>
            <w:tcW w:w="0" w:type="auto"/>
            <w:vAlign w:val="center"/>
            <w:hideMark/>
          </w:tcPr>
          <w:p w14:paraId="776E05BB" w14:textId="77777777" w:rsidR="00720F7D" w:rsidRPr="00FF0DAC" w:rsidRDefault="00720F7D" w:rsidP="00D33047">
            <w:r w:rsidRPr="00FF0DAC">
              <w:t>10</w:t>
            </w:r>
          </w:p>
        </w:tc>
      </w:tr>
      <w:tr w:rsidR="00720F7D" w:rsidRPr="00FF0DAC" w14:paraId="0D9F725A" w14:textId="77777777" w:rsidTr="00D33047">
        <w:trPr>
          <w:tblCellSpacing w:w="15" w:type="dxa"/>
        </w:trPr>
        <w:tc>
          <w:tcPr>
            <w:tcW w:w="0" w:type="auto"/>
            <w:vAlign w:val="center"/>
            <w:hideMark/>
          </w:tcPr>
          <w:p w14:paraId="46BFD031" w14:textId="77777777" w:rsidR="00720F7D" w:rsidRPr="00FF0DAC" w:rsidRDefault="00720F7D" w:rsidP="00D33047">
            <w:r w:rsidRPr="00FF0DAC">
              <w:t>Kassenzettel,</w:t>
            </w:r>
          </w:p>
          <w:p w14:paraId="47A2B547" w14:textId="77777777" w:rsidR="00720F7D" w:rsidRPr="00FF0DAC" w:rsidRDefault="00720F7D" w:rsidP="00D33047">
            <w:r w:rsidRPr="00FF0DAC">
              <w:t xml:space="preserve">wenn </w:t>
            </w:r>
            <w:proofErr w:type="spellStart"/>
            <w:r w:rsidRPr="00FF0DAC">
              <w:t>Tagessummenbons</w:t>
            </w:r>
            <w:proofErr w:type="spellEnd"/>
            <w:r w:rsidRPr="00FF0DAC">
              <w:t xml:space="preserve"> aufbewahrt werden, dann müssen keine Kassenzettel</w:t>
            </w:r>
          </w:p>
        </w:tc>
        <w:tc>
          <w:tcPr>
            <w:tcW w:w="0" w:type="auto"/>
            <w:vAlign w:val="center"/>
            <w:hideMark/>
          </w:tcPr>
          <w:p w14:paraId="48113797" w14:textId="77777777" w:rsidR="00720F7D" w:rsidRPr="00FF0DAC" w:rsidRDefault="00720F7D" w:rsidP="00D33047">
            <w:r w:rsidRPr="00FF0DAC">
              <w:t>10</w:t>
            </w:r>
          </w:p>
          <w:p w14:paraId="578E6AAE" w14:textId="77777777" w:rsidR="00720F7D" w:rsidRPr="00FF0DAC" w:rsidRDefault="00720F7D" w:rsidP="00D33047">
            <w:r w:rsidRPr="00FF0DAC">
              <w:t>0</w:t>
            </w:r>
          </w:p>
        </w:tc>
      </w:tr>
      <w:tr w:rsidR="00720F7D" w:rsidRPr="00FF0DAC" w14:paraId="5DE157C6" w14:textId="77777777" w:rsidTr="00D33047">
        <w:trPr>
          <w:tblCellSpacing w:w="15" w:type="dxa"/>
        </w:trPr>
        <w:tc>
          <w:tcPr>
            <w:tcW w:w="0" w:type="auto"/>
            <w:vAlign w:val="center"/>
            <w:hideMark/>
          </w:tcPr>
          <w:p w14:paraId="38F291B4" w14:textId="77777777" w:rsidR="00720F7D" w:rsidRPr="00FF0DAC" w:rsidRDefault="00720F7D" w:rsidP="00D33047">
            <w:r w:rsidRPr="00FF0DAC">
              <w:t>Kontenpläne und Kontenplanänderungen</w:t>
            </w:r>
          </w:p>
        </w:tc>
        <w:tc>
          <w:tcPr>
            <w:tcW w:w="0" w:type="auto"/>
            <w:vAlign w:val="center"/>
            <w:hideMark/>
          </w:tcPr>
          <w:p w14:paraId="4CCC8A45" w14:textId="77777777" w:rsidR="00720F7D" w:rsidRPr="00FF0DAC" w:rsidRDefault="00720F7D" w:rsidP="00D33047">
            <w:r w:rsidRPr="00FF0DAC">
              <w:t>10</w:t>
            </w:r>
          </w:p>
        </w:tc>
      </w:tr>
      <w:tr w:rsidR="00720F7D" w:rsidRPr="00FF0DAC" w14:paraId="3FF17750" w14:textId="77777777" w:rsidTr="00D33047">
        <w:trPr>
          <w:tblCellSpacing w:w="15" w:type="dxa"/>
        </w:trPr>
        <w:tc>
          <w:tcPr>
            <w:tcW w:w="0" w:type="auto"/>
            <w:vAlign w:val="center"/>
            <w:hideMark/>
          </w:tcPr>
          <w:p w14:paraId="28F1378C" w14:textId="77777777" w:rsidR="00720F7D" w:rsidRPr="00FF0DAC" w:rsidRDefault="00720F7D" w:rsidP="00D33047">
            <w:r w:rsidRPr="00FF0DAC">
              <w:t>Kontenregister</w:t>
            </w:r>
          </w:p>
        </w:tc>
        <w:tc>
          <w:tcPr>
            <w:tcW w:w="0" w:type="auto"/>
            <w:vAlign w:val="center"/>
            <w:hideMark/>
          </w:tcPr>
          <w:p w14:paraId="48ECCFEC" w14:textId="77777777" w:rsidR="00720F7D" w:rsidRPr="00FF0DAC" w:rsidRDefault="00720F7D" w:rsidP="00D33047">
            <w:r w:rsidRPr="00FF0DAC">
              <w:t>10</w:t>
            </w:r>
          </w:p>
        </w:tc>
      </w:tr>
      <w:tr w:rsidR="00720F7D" w:rsidRPr="00FF0DAC" w14:paraId="1CFD6AF2" w14:textId="77777777" w:rsidTr="00D33047">
        <w:trPr>
          <w:tblCellSpacing w:w="15" w:type="dxa"/>
        </w:trPr>
        <w:tc>
          <w:tcPr>
            <w:tcW w:w="0" w:type="auto"/>
            <w:vAlign w:val="center"/>
            <w:hideMark/>
          </w:tcPr>
          <w:p w14:paraId="2D7B0517" w14:textId="77777777" w:rsidR="00720F7D" w:rsidRPr="00FF0DAC" w:rsidRDefault="00720F7D" w:rsidP="00D33047">
            <w:r w:rsidRPr="00FF0DAC">
              <w:t>Kontoauszüge</w:t>
            </w:r>
          </w:p>
        </w:tc>
        <w:tc>
          <w:tcPr>
            <w:tcW w:w="0" w:type="auto"/>
            <w:vAlign w:val="center"/>
            <w:hideMark/>
          </w:tcPr>
          <w:p w14:paraId="637F12B4" w14:textId="77777777" w:rsidR="00720F7D" w:rsidRPr="00FF0DAC" w:rsidRDefault="00720F7D" w:rsidP="00D33047">
            <w:r w:rsidRPr="00FF0DAC">
              <w:t>10</w:t>
            </w:r>
          </w:p>
        </w:tc>
      </w:tr>
      <w:tr w:rsidR="00720F7D" w:rsidRPr="00FF0DAC" w14:paraId="4F247ADC" w14:textId="77777777" w:rsidTr="00D33047">
        <w:trPr>
          <w:tblCellSpacing w:w="15" w:type="dxa"/>
        </w:trPr>
        <w:tc>
          <w:tcPr>
            <w:tcW w:w="0" w:type="auto"/>
            <w:vAlign w:val="center"/>
            <w:hideMark/>
          </w:tcPr>
          <w:p w14:paraId="40FC7A70" w14:textId="77777777" w:rsidR="00720F7D" w:rsidRPr="00FF0DAC" w:rsidRDefault="00720F7D" w:rsidP="00D33047">
            <w:r w:rsidRPr="00FF0DAC">
              <w:t>Konzernabschluss (§ 290 HGB)</w:t>
            </w:r>
          </w:p>
        </w:tc>
        <w:tc>
          <w:tcPr>
            <w:tcW w:w="0" w:type="auto"/>
            <w:vAlign w:val="center"/>
            <w:hideMark/>
          </w:tcPr>
          <w:p w14:paraId="30F20131" w14:textId="77777777" w:rsidR="00720F7D" w:rsidRPr="00FF0DAC" w:rsidRDefault="00720F7D" w:rsidP="00D33047">
            <w:r w:rsidRPr="00FF0DAC">
              <w:t>10</w:t>
            </w:r>
          </w:p>
        </w:tc>
      </w:tr>
      <w:tr w:rsidR="00720F7D" w:rsidRPr="00FF0DAC" w14:paraId="4BCD6F46" w14:textId="77777777" w:rsidTr="00D33047">
        <w:trPr>
          <w:tblCellSpacing w:w="15" w:type="dxa"/>
        </w:trPr>
        <w:tc>
          <w:tcPr>
            <w:tcW w:w="0" w:type="auto"/>
            <w:vAlign w:val="center"/>
            <w:hideMark/>
          </w:tcPr>
          <w:p w14:paraId="458A1D64" w14:textId="77777777" w:rsidR="00720F7D" w:rsidRPr="00FF0DAC" w:rsidRDefault="00720F7D" w:rsidP="00D33047">
            <w:r w:rsidRPr="00FF0DAC">
              <w:t>Konzernlagebericht (§§ 290, 350 HGB)</w:t>
            </w:r>
          </w:p>
        </w:tc>
        <w:tc>
          <w:tcPr>
            <w:tcW w:w="0" w:type="auto"/>
            <w:vAlign w:val="center"/>
            <w:hideMark/>
          </w:tcPr>
          <w:p w14:paraId="5E966C81" w14:textId="77777777" w:rsidR="00720F7D" w:rsidRPr="00FF0DAC" w:rsidRDefault="00720F7D" w:rsidP="00D33047">
            <w:r w:rsidRPr="00FF0DAC">
              <w:t>10</w:t>
            </w:r>
          </w:p>
        </w:tc>
      </w:tr>
      <w:tr w:rsidR="00720F7D" w:rsidRPr="00FF0DAC" w14:paraId="5F99DEF0" w14:textId="77777777" w:rsidTr="00D33047">
        <w:trPr>
          <w:tblCellSpacing w:w="15" w:type="dxa"/>
        </w:trPr>
        <w:tc>
          <w:tcPr>
            <w:tcW w:w="0" w:type="auto"/>
            <w:vAlign w:val="center"/>
            <w:hideMark/>
          </w:tcPr>
          <w:p w14:paraId="2332A52D" w14:textId="77777777" w:rsidR="00720F7D" w:rsidRPr="00FF0DAC" w:rsidRDefault="00720F7D" w:rsidP="00D33047">
            <w:r w:rsidRPr="00FF0DAC">
              <w:t>Kreditunterlagen, wenn Korrespondenz,</w:t>
            </w:r>
          </w:p>
          <w:p w14:paraId="68F77388" w14:textId="77777777" w:rsidR="00720F7D" w:rsidRPr="00FF0DAC" w:rsidRDefault="00720F7D" w:rsidP="00D33047">
            <w:r w:rsidRPr="00FF0DAC">
              <w:t>wenn Buchungsbeleg</w:t>
            </w:r>
          </w:p>
        </w:tc>
        <w:tc>
          <w:tcPr>
            <w:tcW w:w="0" w:type="auto"/>
            <w:vAlign w:val="center"/>
            <w:hideMark/>
          </w:tcPr>
          <w:p w14:paraId="78180D7B" w14:textId="77777777" w:rsidR="00720F7D" w:rsidRPr="00FF0DAC" w:rsidRDefault="00720F7D" w:rsidP="00D33047">
            <w:r w:rsidRPr="00FF0DAC">
              <w:t>6</w:t>
            </w:r>
          </w:p>
          <w:p w14:paraId="4DCA2929" w14:textId="77777777" w:rsidR="00720F7D" w:rsidRPr="00FF0DAC" w:rsidRDefault="00720F7D" w:rsidP="00D33047">
            <w:r w:rsidRPr="00FF0DAC">
              <w:t>10</w:t>
            </w:r>
          </w:p>
        </w:tc>
      </w:tr>
      <w:tr w:rsidR="00720F7D" w:rsidRPr="00FF0DAC" w14:paraId="1EF9814C" w14:textId="77777777" w:rsidTr="00D33047">
        <w:trPr>
          <w:tblCellSpacing w:w="15" w:type="dxa"/>
        </w:trPr>
        <w:tc>
          <w:tcPr>
            <w:tcW w:w="0" w:type="auto"/>
            <w:vAlign w:val="center"/>
            <w:hideMark/>
          </w:tcPr>
          <w:p w14:paraId="2D0A7D3F" w14:textId="77777777" w:rsidR="00720F7D" w:rsidRPr="00FF0DAC" w:rsidRDefault="00720F7D" w:rsidP="00D33047">
            <w:r w:rsidRPr="00FF0DAC">
              <w:rPr>
                <w:b/>
                <w:bCs/>
              </w:rPr>
              <w:t>L</w:t>
            </w:r>
            <w:r w:rsidRPr="00FF0DAC">
              <w:t>ageberichte, wenn Bilanzunterlagen</w:t>
            </w:r>
          </w:p>
        </w:tc>
        <w:tc>
          <w:tcPr>
            <w:tcW w:w="0" w:type="auto"/>
            <w:vAlign w:val="center"/>
            <w:hideMark/>
          </w:tcPr>
          <w:p w14:paraId="0673AE7C" w14:textId="77777777" w:rsidR="00720F7D" w:rsidRPr="00FF0DAC" w:rsidRDefault="00720F7D" w:rsidP="00D33047">
            <w:r w:rsidRPr="00FF0DAC">
              <w:t>10</w:t>
            </w:r>
          </w:p>
        </w:tc>
      </w:tr>
      <w:tr w:rsidR="00720F7D" w:rsidRPr="00FF0DAC" w14:paraId="665EFBB8" w14:textId="77777777" w:rsidTr="00D33047">
        <w:trPr>
          <w:tblCellSpacing w:w="15" w:type="dxa"/>
        </w:trPr>
        <w:tc>
          <w:tcPr>
            <w:tcW w:w="0" w:type="auto"/>
            <w:vAlign w:val="center"/>
            <w:hideMark/>
          </w:tcPr>
          <w:p w14:paraId="64E20791" w14:textId="77777777" w:rsidR="00720F7D" w:rsidRPr="00FF0DAC" w:rsidRDefault="00720F7D" w:rsidP="00D33047">
            <w:r w:rsidRPr="00FF0DAC">
              <w:t>Lagerbuchführungen</w:t>
            </w:r>
          </w:p>
        </w:tc>
        <w:tc>
          <w:tcPr>
            <w:tcW w:w="0" w:type="auto"/>
            <w:vAlign w:val="center"/>
            <w:hideMark/>
          </w:tcPr>
          <w:p w14:paraId="4E49200A" w14:textId="77777777" w:rsidR="00720F7D" w:rsidRPr="00FF0DAC" w:rsidRDefault="00720F7D" w:rsidP="00D33047">
            <w:r w:rsidRPr="00FF0DAC">
              <w:t>10</w:t>
            </w:r>
          </w:p>
        </w:tc>
      </w:tr>
      <w:tr w:rsidR="00720F7D" w:rsidRPr="00FF0DAC" w14:paraId="27B79D38" w14:textId="77777777" w:rsidTr="00D33047">
        <w:trPr>
          <w:tblCellSpacing w:w="15" w:type="dxa"/>
        </w:trPr>
        <w:tc>
          <w:tcPr>
            <w:tcW w:w="0" w:type="auto"/>
            <w:vAlign w:val="center"/>
            <w:hideMark/>
          </w:tcPr>
          <w:p w14:paraId="64EBA4BF" w14:textId="77777777" w:rsidR="00720F7D" w:rsidRPr="00FF0DAC" w:rsidRDefault="00720F7D" w:rsidP="00D33047">
            <w:r w:rsidRPr="00FF0DAC">
              <w:t>Lieferscheine,</w:t>
            </w:r>
          </w:p>
          <w:p w14:paraId="3F1C2A99" w14:textId="77777777" w:rsidR="00720F7D" w:rsidRPr="00FF0DAC" w:rsidRDefault="00720F7D" w:rsidP="00D33047">
            <w:proofErr w:type="gramStart"/>
            <w:r w:rsidRPr="00FF0DAC">
              <w:t>sofern</w:t>
            </w:r>
            <w:proofErr w:type="gramEnd"/>
            <w:r w:rsidRPr="00FF0DAC">
              <w:t xml:space="preserve"> als Belegnachweis v.a. i. </w:t>
            </w:r>
            <w:proofErr w:type="spellStart"/>
            <w:r w:rsidRPr="00FF0DAC">
              <w:t>Zshg</w:t>
            </w:r>
            <w:proofErr w:type="spellEnd"/>
            <w:r w:rsidRPr="00FF0DAC">
              <w:t>. mit einer Rechnung</w:t>
            </w:r>
          </w:p>
        </w:tc>
        <w:tc>
          <w:tcPr>
            <w:tcW w:w="0" w:type="auto"/>
            <w:vAlign w:val="center"/>
            <w:hideMark/>
          </w:tcPr>
          <w:p w14:paraId="369B090C" w14:textId="77777777" w:rsidR="00720F7D" w:rsidRPr="00FF0DAC" w:rsidRDefault="00720F7D" w:rsidP="00D33047">
            <w:r w:rsidRPr="00FF0DAC">
              <w:t>6</w:t>
            </w:r>
          </w:p>
          <w:p w14:paraId="74B6E68D" w14:textId="77777777" w:rsidR="00720F7D" w:rsidRPr="00FF0DAC" w:rsidRDefault="00720F7D" w:rsidP="00D33047">
            <w:r w:rsidRPr="00FF0DAC">
              <w:t>10</w:t>
            </w:r>
          </w:p>
        </w:tc>
      </w:tr>
      <w:tr w:rsidR="00720F7D" w:rsidRPr="00FF0DAC" w14:paraId="2F37AF75" w14:textId="77777777" w:rsidTr="00D33047">
        <w:trPr>
          <w:tblCellSpacing w:w="15" w:type="dxa"/>
        </w:trPr>
        <w:tc>
          <w:tcPr>
            <w:tcW w:w="0" w:type="auto"/>
            <w:vAlign w:val="center"/>
            <w:hideMark/>
          </w:tcPr>
          <w:p w14:paraId="4A1739B2" w14:textId="77777777" w:rsidR="00720F7D" w:rsidRPr="00FF0DAC" w:rsidRDefault="00720F7D" w:rsidP="00D33047">
            <w:r w:rsidRPr="00FF0DAC">
              <w:t>Lohnbelege als Buchungsbelege</w:t>
            </w:r>
          </w:p>
        </w:tc>
        <w:tc>
          <w:tcPr>
            <w:tcW w:w="0" w:type="auto"/>
            <w:vAlign w:val="center"/>
            <w:hideMark/>
          </w:tcPr>
          <w:p w14:paraId="780D3F06" w14:textId="77777777" w:rsidR="00720F7D" w:rsidRPr="00FF0DAC" w:rsidRDefault="00720F7D" w:rsidP="00D33047">
            <w:r w:rsidRPr="00FF0DAC">
              <w:t>10</w:t>
            </w:r>
          </w:p>
        </w:tc>
      </w:tr>
      <w:tr w:rsidR="00720F7D" w:rsidRPr="00FF0DAC" w14:paraId="6480BE3F" w14:textId="77777777" w:rsidTr="00D33047">
        <w:trPr>
          <w:tblCellSpacing w:w="15" w:type="dxa"/>
        </w:trPr>
        <w:tc>
          <w:tcPr>
            <w:tcW w:w="0" w:type="auto"/>
            <w:vAlign w:val="center"/>
            <w:hideMark/>
          </w:tcPr>
          <w:p w14:paraId="0652F319" w14:textId="77777777" w:rsidR="00720F7D" w:rsidRPr="00FF0DAC" w:rsidRDefault="00720F7D" w:rsidP="00D33047">
            <w:r w:rsidRPr="00FF0DAC">
              <w:lastRenderedPageBreak/>
              <w:t>Lohnlisten für Zwischen-, End- und Sonderzahlungen</w:t>
            </w:r>
          </w:p>
        </w:tc>
        <w:tc>
          <w:tcPr>
            <w:tcW w:w="0" w:type="auto"/>
            <w:vAlign w:val="center"/>
            <w:hideMark/>
          </w:tcPr>
          <w:p w14:paraId="3744C685" w14:textId="77777777" w:rsidR="00720F7D" w:rsidRPr="00FF0DAC" w:rsidRDefault="00720F7D" w:rsidP="00D33047">
            <w:r w:rsidRPr="00FF0DAC">
              <w:t>6</w:t>
            </w:r>
          </w:p>
        </w:tc>
      </w:tr>
      <w:tr w:rsidR="00720F7D" w:rsidRPr="00FF0DAC" w14:paraId="4229E048" w14:textId="77777777" w:rsidTr="00D33047">
        <w:trPr>
          <w:tblCellSpacing w:w="15" w:type="dxa"/>
        </w:trPr>
        <w:tc>
          <w:tcPr>
            <w:tcW w:w="0" w:type="auto"/>
            <w:vAlign w:val="center"/>
            <w:hideMark/>
          </w:tcPr>
          <w:p w14:paraId="3A0F603D" w14:textId="77777777" w:rsidR="00720F7D" w:rsidRPr="00FF0DAC" w:rsidRDefault="00720F7D" w:rsidP="00D33047">
            <w:r w:rsidRPr="00FF0DAC">
              <w:rPr>
                <w:b/>
                <w:bCs/>
              </w:rPr>
              <w:t>M</w:t>
            </w:r>
            <w:r w:rsidRPr="00FF0DAC">
              <w:t>agnetbänder, wenn Grundbuch oder Konten- oder Belegfunktion</w:t>
            </w:r>
          </w:p>
        </w:tc>
        <w:tc>
          <w:tcPr>
            <w:tcW w:w="0" w:type="auto"/>
            <w:vAlign w:val="center"/>
            <w:hideMark/>
          </w:tcPr>
          <w:p w14:paraId="7AEBC678" w14:textId="77777777" w:rsidR="00720F7D" w:rsidRPr="00FF0DAC" w:rsidRDefault="00720F7D" w:rsidP="00D33047">
            <w:r w:rsidRPr="00FF0DAC">
              <w:t>10</w:t>
            </w:r>
          </w:p>
        </w:tc>
      </w:tr>
      <w:tr w:rsidR="00720F7D" w:rsidRPr="00FF0DAC" w14:paraId="77526A74" w14:textId="77777777" w:rsidTr="00D33047">
        <w:trPr>
          <w:tblCellSpacing w:w="15" w:type="dxa"/>
        </w:trPr>
        <w:tc>
          <w:tcPr>
            <w:tcW w:w="0" w:type="auto"/>
            <w:vAlign w:val="center"/>
            <w:hideMark/>
          </w:tcPr>
          <w:p w14:paraId="5B8DF934" w14:textId="77777777" w:rsidR="00720F7D" w:rsidRPr="00FF0DAC" w:rsidRDefault="00720F7D" w:rsidP="00D33047">
            <w:r w:rsidRPr="00FF0DAC">
              <w:t>Mahnbescheide und</w:t>
            </w:r>
          </w:p>
          <w:p w14:paraId="709E31EE" w14:textId="77777777" w:rsidR="00720F7D" w:rsidRPr="00FF0DAC" w:rsidRDefault="00720F7D" w:rsidP="00D33047">
            <w:r w:rsidRPr="00FF0DAC">
              <w:t>Mahnungen (empfangene Handelsbriefe und</w:t>
            </w:r>
            <w:r w:rsidRPr="00FF0DAC">
              <w:br/>
              <w:t>inhaltliche Wiedergabe abgesandter Handelsbriefe)</w:t>
            </w:r>
          </w:p>
        </w:tc>
        <w:tc>
          <w:tcPr>
            <w:tcW w:w="0" w:type="auto"/>
            <w:vAlign w:val="center"/>
            <w:hideMark/>
          </w:tcPr>
          <w:p w14:paraId="7FEE62D4" w14:textId="77777777" w:rsidR="00720F7D" w:rsidRPr="00FF0DAC" w:rsidRDefault="00720F7D" w:rsidP="00D33047">
            <w:r w:rsidRPr="00FF0DAC">
              <w:t>6</w:t>
            </w:r>
          </w:p>
        </w:tc>
      </w:tr>
      <w:tr w:rsidR="00720F7D" w:rsidRPr="00FF0DAC" w14:paraId="7D551FDE" w14:textId="77777777" w:rsidTr="00D33047">
        <w:trPr>
          <w:tblCellSpacing w:w="15" w:type="dxa"/>
        </w:trPr>
        <w:tc>
          <w:tcPr>
            <w:tcW w:w="0" w:type="auto"/>
            <w:vAlign w:val="center"/>
            <w:hideMark/>
          </w:tcPr>
          <w:p w14:paraId="2FCAE5B1" w14:textId="77777777" w:rsidR="00720F7D" w:rsidRPr="00FF0DAC" w:rsidRDefault="00720F7D" w:rsidP="00D33047">
            <w:r w:rsidRPr="00FF0DAC">
              <w:t>Maske (Bildschirm-, Druck-)</w:t>
            </w:r>
          </w:p>
        </w:tc>
        <w:tc>
          <w:tcPr>
            <w:tcW w:w="0" w:type="auto"/>
            <w:vAlign w:val="center"/>
            <w:hideMark/>
          </w:tcPr>
          <w:p w14:paraId="15DA9364" w14:textId="77777777" w:rsidR="00720F7D" w:rsidRPr="00FF0DAC" w:rsidRDefault="00720F7D" w:rsidP="00D33047">
            <w:r w:rsidRPr="00FF0DAC">
              <w:t>10</w:t>
            </w:r>
          </w:p>
        </w:tc>
      </w:tr>
      <w:tr w:rsidR="00720F7D" w:rsidRPr="00FF0DAC" w14:paraId="45866607" w14:textId="77777777" w:rsidTr="00D33047">
        <w:trPr>
          <w:tblCellSpacing w:w="15" w:type="dxa"/>
        </w:trPr>
        <w:tc>
          <w:tcPr>
            <w:tcW w:w="0" w:type="auto"/>
            <w:vAlign w:val="center"/>
            <w:hideMark/>
          </w:tcPr>
          <w:p w14:paraId="45B47EDC" w14:textId="77777777" w:rsidR="00720F7D" w:rsidRPr="00FF0DAC" w:rsidRDefault="00720F7D" w:rsidP="00D33047">
            <w:r w:rsidRPr="00FF0DAC">
              <w:t>Menu-Übersicht</w:t>
            </w:r>
          </w:p>
        </w:tc>
        <w:tc>
          <w:tcPr>
            <w:tcW w:w="0" w:type="auto"/>
            <w:vAlign w:val="center"/>
            <w:hideMark/>
          </w:tcPr>
          <w:p w14:paraId="38739776" w14:textId="77777777" w:rsidR="00720F7D" w:rsidRPr="00FF0DAC" w:rsidRDefault="00720F7D" w:rsidP="00D33047">
            <w:r w:rsidRPr="00FF0DAC">
              <w:t>10</w:t>
            </w:r>
          </w:p>
        </w:tc>
      </w:tr>
      <w:tr w:rsidR="00720F7D" w:rsidRPr="00FF0DAC" w14:paraId="401F4C6C" w14:textId="77777777" w:rsidTr="00D33047">
        <w:trPr>
          <w:tblCellSpacing w:w="15" w:type="dxa"/>
        </w:trPr>
        <w:tc>
          <w:tcPr>
            <w:tcW w:w="0" w:type="auto"/>
            <w:vAlign w:val="center"/>
            <w:hideMark/>
          </w:tcPr>
          <w:p w14:paraId="5005046A" w14:textId="77777777" w:rsidR="00720F7D" w:rsidRPr="00FF0DAC" w:rsidRDefault="00720F7D" w:rsidP="00D33047">
            <w:r w:rsidRPr="00FF0DAC">
              <w:t>Mietunterlagen (nach Vertragsende), soweit Buchungsbelege</w:t>
            </w:r>
          </w:p>
        </w:tc>
        <w:tc>
          <w:tcPr>
            <w:tcW w:w="0" w:type="auto"/>
            <w:vAlign w:val="center"/>
            <w:hideMark/>
          </w:tcPr>
          <w:p w14:paraId="6B874998" w14:textId="77777777" w:rsidR="00720F7D" w:rsidRPr="00FF0DAC" w:rsidRDefault="00720F7D" w:rsidP="00D33047">
            <w:r w:rsidRPr="00FF0DAC">
              <w:t>10</w:t>
            </w:r>
          </w:p>
        </w:tc>
      </w:tr>
      <w:tr w:rsidR="00720F7D" w:rsidRPr="00FF0DAC" w14:paraId="05C8839B" w14:textId="77777777" w:rsidTr="00D33047">
        <w:trPr>
          <w:tblCellSpacing w:w="15" w:type="dxa"/>
        </w:trPr>
        <w:tc>
          <w:tcPr>
            <w:tcW w:w="0" w:type="auto"/>
            <w:vAlign w:val="center"/>
            <w:hideMark/>
          </w:tcPr>
          <w:p w14:paraId="0BC39CFC" w14:textId="77777777" w:rsidR="00720F7D" w:rsidRPr="00FF0DAC" w:rsidRDefault="00720F7D" w:rsidP="00D33047">
            <w:r w:rsidRPr="00FF0DAC">
              <w:rPr>
                <w:b/>
                <w:bCs/>
              </w:rPr>
              <w:t>N</w:t>
            </w:r>
            <w:r w:rsidRPr="00FF0DAC">
              <w:t>achnahmebelege</w:t>
            </w:r>
          </w:p>
        </w:tc>
        <w:tc>
          <w:tcPr>
            <w:tcW w:w="0" w:type="auto"/>
            <w:vAlign w:val="center"/>
            <w:hideMark/>
          </w:tcPr>
          <w:p w14:paraId="6A6A298A" w14:textId="77777777" w:rsidR="00720F7D" w:rsidRPr="00FF0DAC" w:rsidRDefault="00720F7D" w:rsidP="00D33047">
            <w:r w:rsidRPr="00FF0DAC">
              <w:t>10</w:t>
            </w:r>
          </w:p>
        </w:tc>
      </w:tr>
      <w:tr w:rsidR="00720F7D" w:rsidRPr="00FF0DAC" w14:paraId="697B81C6" w14:textId="77777777" w:rsidTr="00D33047">
        <w:trPr>
          <w:tblCellSpacing w:w="15" w:type="dxa"/>
        </w:trPr>
        <w:tc>
          <w:tcPr>
            <w:tcW w:w="0" w:type="auto"/>
            <w:vAlign w:val="center"/>
            <w:hideMark/>
          </w:tcPr>
          <w:p w14:paraId="786D7712" w14:textId="77777777" w:rsidR="00720F7D" w:rsidRPr="00FF0DAC" w:rsidRDefault="00720F7D" w:rsidP="00D33047">
            <w:r w:rsidRPr="00FF0DAC">
              <w:t>Nebenbücher</w:t>
            </w:r>
          </w:p>
        </w:tc>
        <w:tc>
          <w:tcPr>
            <w:tcW w:w="0" w:type="auto"/>
            <w:vAlign w:val="center"/>
            <w:hideMark/>
          </w:tcPr>
          <w:p w14:paraId="1A7DDC5C" w14:textId="77777777" w:rsidR="00720F7D" w:rsidRPr="00FF0DAC" w:rsidRDefault="00720F7D" w:rsidP="00D33047">
            <w:r w:rsidRPr="00FF0DAC">
              <w:t>10</w:t>
            </w:r>
          </w:p>
        </w:tc>
      </w:tr>
      <w:tr w:rsidR="00720F7D" w:rsidRPr="00FF0DAC" w14:paraId="5413FB69" w14:textId="77777777" w:rsidTr="00D33047">
        <w:trPr>
          <w:tblCellSpacing w:w="15" w:type="dxa"/>
        </w:trPr>
        <w:tc>
          <w:tcPr>
            <w:tcW w:w="0" w:type="auto"/>
            <w:vAlign w:val="center"/>
            <w:hideMark/>
          </w:tcPr>
          <w:p w14:paraId="422E664A" w14:textId="77777777" w:rsidR="00720F7D" w:rsidRPr="00FF0DAC" w:rsidRDefault="00720F7D" w:rsidP="00D33047">
            <w:r w:rsidRPr="00FF0DAC">
              <w:rPr>
                <w:b/>
                <w:bCs/>
              </w:rPr>
              <w:t>O</w:t>
            </w:r>
            <w:r w:rsidRPr="00FF0DAC">
              <w:t>rganisationsunterlagen der EDV-Buchführung</w:t>
            </w:r>
          </w:p>
        </w:tc>
        <w:tc>
          <w:tcPr>
            <w:tcW w:w="0" w:type="auto"/>
            <w:vAlign w:val="center"/>
            <w:hideMark/>
          </w:tcPr>
          <w:p w14:paraId="09170B2A" w14:textId="77777777" w:rsidR="00720F7D" w:rsidRPr="00FF0DAC" w:rsidRDefault="00720F7D" w:rsidP="00D33047">
            <w:r w:rsidRPr="00FF0DAC">
              <w:t>10</w:t>
            </w:r>
          </w:p>
        </w:tc>
      </w:tr>
      <w:tr w:rsidR="00720F7D" w:rsidRPr="00FF0DAC" w14:paraId="248259FD" w14:textId="77777777" w:rsidTr="00D33047">
        <w:trPr>
          <w:tblCellSpacing w:w="15" w:type="dxa"/>
        </w:trPr>
        <w:tc>
          <w:tcPr>
            <w:tcW w:w="0" w:type="auto"/>
            <w:vAlign w:val="center"/>
            <w:hideMark/>
          </w:tcPr>
          <w:p w14:paraId="1DA0CAFB" w14:textId="77777777" w:rsidR="00720F7D" w:rsidRPr="00FF0DAC" w:rsidRDefault="00720F7D" w:rsidP="00D33047">
            <w:r w:rsidRPr="00FF0DAC">
              <w:rPr>
                <w:b/>
                <w:bCs/>
              </w:rPr>
              <w:t>P</w:t>
            </w:r>
            <w:r w:rsidRPr="00FF0DAC">
              <w:t>achtunterlagen (nach Vertragsende), soweit Buchungsbelege</w:t>
            </w:r>
          </w:p>
        </w:tc>
        <w:tc>
          <w:tcPr>
            <w:tcW w:w="0" w:type="auto"/>
            <w:vAlign w:val="center"/>
            <w:hideMark/>
          </w:tcPr>
          <w:p w14:paraId="3C97BEE0" w14:textId="77777777" w:rsidR="00720F7D" w:rsidRPr="00FF0DAC" w:rsidRDefault="00720F7D" w:rsidP="00D33047">
            <w:r w:rsidRPr="00FF0DAC">
              <w:t>10</w:t>
            </w:r>
          </w:p>
        </w:tc>
      </w:tr>
      <w:tr w:rsidR="00720F7D" w:rsidRPr="00FF0DAC" w14:paraId="5B184AD1" w14:textId="77777777" w:rsidTr="00D33047">
        <w:trPr>
          <w:tblCellSpacing w:w="15" w:type="dxa"/>
        </w:trPr>
        <w:tc>
          <w:tcPr>
            <w:tcW w:w="0" w:type="auto"/>
            <w:vAlign w:val="center"/>
            <w:hideMark/>
          </w:tcPr>
          <w:p w14:paraId="37C304BF" w14:textId="77777777" w:rsidR="00720F7D" w:rsidRPr="00FF0DAC" w:rsidRDefault="00720F7D" w:rsidP="00D33047">
            <w:r w:rsidRPr="00FF0DAC">
              <w:t>Postgiroauszüge und Belege, wenn Buchungsbelege</w:t>
            </w:r>
          </w:p>
        </w:tc>
        <w:tc>
          <w:tcPr>
            <w:tcW w:w="0" w:type="auto"/>
            <w:vAlign w:val="center"/>
            <w:hideMark/>
          </w:tcPr>
          <w:p w14:paraId="4F99D1F4" w14:textId="77777777" w:rsidR="00720F7D" w:rsidRPr="00FF0DAC" w:rsidRDefault="00720F7D" w:rsidP="00D33047">
            <w:r w:rsidRPr="00FF0DAC">
              <w:t>10</w:t>
            </w:r>
          </w:p>
        </w:tc>
      </w:tr>
      <w:tr w:rsidR="00720F7D" w:rsidRPr="00FF0DAC" w14:paraId="783B1AAF" w14:textId="77777777" w:rsidTr="00D33047">
        <w:trPr>
          <w:tblCellSpacing w:w="15" w:type="dxa"/>
        </w:trPr>
        <w:tc>
          <w:tcPr>
            <w:tcW w:w="0" w:type="auto"/>
            <w:vAlign w:val="center"/>
            <w:hideMark/>
          </w:tcPr>
          <w:p w14:paraId="4DFB1136" w14:textId="77777777" w:rsidR="00720F7D" w:rsidRPr="00FF0DAC" w:rsidRDefault="00720F7D" w:rsidP="00D33047">
            <w:r w:rsidRPr="00FF0DAC">
              <w:t>Preislisten,</w:t>
            </w:r>
          </w:p>
          <w:p w14:paraId="33D023ED" w14:textId="77777777" w:rsidR="00720F7D" w:rsidRPr="00FF0DAC" w:rsidRDefault="00720F7D" w:rsidP="00D33047">
            <w:r w:rsidRPr="00FF0DAC">
              <w:t>wenn Bewertungs- oder Buchungsunterlagen</w:t>
            </w:r>
          </w:p>
        </w:tc>
        <w:tc>
          <w:tcPr>
            <w:tcW w:w="0" w:type="auto"/>
            <w:vAlign w:val="center"/>
            <w:hideMark/>
          </w:tcPr>
          <w:p w14:paraId="52FF16BC" w14:textId="77777777" w:rsidR="00720F7D" w:rsidRPr="00FF0DAC" w:rsidRDefault="00720F7D" w:rsidP="00D33047">
            <w:r w:rsidRPr="00FF0DAC">
              <w:t>6</w:t>
            </w:r>
          </w:p>
          <w:p w14:paraId="1F1809C2" w14:textId="77777777" w:rsidR="00720F7D" w:rsidRPr="00FF0DAC" w:rsidRDefault="00720F7D" w:rsidP="00D33047">
            <w:r w:rsidRPr="00FF0DAC">
              <w:t>10</w:t>
            </w:r>
          </w:p>
        </w:tc>
      </w:tr>
      <w:tr w:rsidR="00720F7D" w:rsidRPr="00FF0DAC" w14:paraId="7B98DCF2" w14:textId="77777777" w:rsidTr="00D33047">
        <w:trPr>
          <w:tblCellSpacing w:w="15" w:type="dxa"/>
        </w:trPr>
        <w:tc>
          <w:tcPr>
            <w:tcW w:w="0" w:type="auto"/>
            <w:vAlign w:val="center"/>
            <w:hideMark/>
          </w:tcPr>
          <w:p w14:paraId="0E7BA928" w14:textId="77777777" w:rsidR="00720F7D" w:rsidRPr="00FF0DAC" w:rsidRDefault="00720F7D" w:rsidP="00D33047">
            <w:r w:rsidRPr="00FF0DAC">
              <w:t>Programmablaufbeschreibungen</w:t>
            </w:r>
          </w:p>
        </w:tc>
        <w:tc>
          <w:tcPr>
            <w:tcW w:w="0" w:type="auto"/>
            <w:vAlign w:val="center"/>
            <w:hideMark/>
          </w:tcPr>
          <w:p w14:paraId="3915277E" w14:textId="77777777" w:rsidR="00720F7D" w:rsidRPr="00FF0DAC" w:rsidRDefault="00720F7D" w:rsidP="00D33047">
            <w:r w:rsidRPr="00FF0DAC">
              <w:t>10</w:t>
            </w:r>
          </w:p>
        </w:tc>
      </w:tr>
      <w:tr w:rsidR="00720F7D" w:rsidRPr="00FF0DAC" w14:paraId="7A49DA61" w14:textId="77777777" w:rsidTr="00D33047">
        <w:trPr>
          <w:tblCellSpacing w:w="15" w:type="dxa"/>
        </w:trPr>
        <w:tc>
          <w:tcPr>
            <w:tcW w:w="0" w:type="auto"/>
            <w:vAlign w:val="center"/>
            <w:hideMark/>
          </w:tcPr>
          <w:p w14:paraId="32611764" w14:textId="77777777" w:rsidR="00720F7D" w:rsidRPr="00FF0DAC" w:rsidRDefault="00720F7D" w:rsidP="00D33047">
            <w:r w:rsidRPr="00FF0DAC">
              <w:t>Programmverzeichnisse</w:t>
            </w:r>
          </w:p>
        </w:tc>
        <w:tc>
          <w:tcPr>
            <w:tcW w:w="0" w:type="auto"/>
            <w:vAlign w:val="center"/>
            <w:hideMark/>
          </w:tcPr>
          <w:p w14:paraId="51CB2B52" w14:textId="77777777" w:rsidR="00720F7D" w:rsidRPr="00FF0DAC" w:rsidRDefault="00720F7D" w:rsidP="00D33047">
            <w:r w:rsidRPr="00FF0DAC">
              <w:t>10</w:t>
            </w:r>
          </w:p>
        </w:tc>
      </w:tr>
      <w:tr w:rsidR="00720F7D" w:rsidRPr="00FF0DAC" w14:paraId="65E100F7" w14:textId="77777777" w:rsidTr="00D33047">
        <w:trPr>
          <w:tblCellSpacing w:w="15" w:type="dxa"/>
        </w:trPr>
        <w:tc>
          <w:tcPr>
            <w:tcW w:w="0" w:type="auto"/>
            <w:vAlign w:val="center"/>
            <w:hideMark/>
          </w:tcPr>
          <w:p w14:paraId="7E4BA329" w14:textId="77777777" w:rsidR="00720F7D" w:rsidRPr="00FF0DAC" w:rsidRDefault="00720F7D" w:rsidP="00D33047">
            <w:r w:rsidRPr="00FF0DAC">
              <w:t>Protokolle*, als Handelsbrief</w:t>
            </w:r>
          </w:p>
        </w:tc>
        <w:tc>
          <w:tcPr>
            <w:tcW w:w="0" w:type="auto"/>
            <w:vAlign w:val="center"/>
            <w:hideMark/>
          </w:tcPr>
          <w:p w14:paraId="36BF59B3" w14:textId="77777777" w:rsidR="00720F7D" w:rsidRPr="00FF0DAC" w:rsidRDefault="00720F7D" w:rsidP="00D33047">
            <w:r w:rsidRPr="00FF0DAC">
              <w:t>6</w:t>
            </w:r>
          </w:p>
        </w:tc>
      </w:tr>
      <w:tr w:rsidR="00720F7D" w:rsidRPr="00FF0DAC" w14:paraId="676DF280" w14:textId="77777777" w:rsidTr="00D33047">
        <w:trPr>
          <w:tblCellSpacing w:w="15" w:type="dxa"/>
        </w:trPr>
        <w:tc>
          <w:tcPr>
            <w:tcW w:w="0" w:type="auto"/>
            <w:vAlign w:val="center"/>
            <w:hideMark/>
          </w:tcPr>
          <w:p w14:paraId="03EEF4E0" w14:textId="77777777" w:rsidR="00720F7D" w:rsidRPr="00FF0DAC" w:rsidRDefault="00720F7D" w:rsidP="00D33047">
            <w:r w:rsidRPr="00FF0DAC">
              <w:t>Prozessakten</w:t>
            </w:r>
          </w:p>
        </w:tc>
        <w:tc>
          <w:tcPr>
            <w:tcW w:w="0" w:type="auto"/>
            <w:vAlign w:val="center"/>
            <w:hideMark/>
          </w:tcPr>
          <w:p w14:paraId="0134F37F" w14:textId="77777777" w:rsidR="00720F7D" w:rsidRPr="00FF0DAC" w:rsidRDefault="00720F7D" w:rsidP="00D33047">
            <w:r w:rsidRPr="00FF0DAC">
              <w:t>10</w:t>
            </w:r>
          </w:p>
        </w:tc>
      </w:tr>
      <w:tr w:rsidR="00720F7D" w:rsidRPr="00FF0DAC" w14:paraId="0D65615D" w14:textId="77777777" w:rsidTr="00D33047">
        <w:trPr>
          <w:tblCellSpacing w:w="15" w:type="dxa"/>
        </w:trPr>
        <w:tc>
          <w:tcPr>
            <w:tcW w:w="0" w:type="auto"/>
            <w:vAlign w:val="center"/>
            <w:hideMark/>
          </w:tcPr>
          <w:p w14:paraId="7FFD0E82" w14:textId="77777777" w:rsidR="00720F7D" w:rsidRPr="00FF0DAC" w:rsidRDefault="00720F7D" w:rsidP="00D33047">
            <w:r w:rsidRPr="00FF0DAC">
              <w:t>Prüfungsberichte des Abschlussprüfers</w:t>
            </w:r>
          </w:p>
        </w:tc>
        <w:tc>
          <w:tcPr>
            <w:tcW w:w="0" w:type="auto"/>
            <w:vAlign w:val="center"/>
            <w:hideMark/>
          </w:tcPr>
          <w:p w14:paraId="2A22A01E" w14:textId="77777777" w:rsidR="00720F7D" w:rsidRPr="00FF0DAC" w:rsidRDefault="00720F7D" w:rsidP="00D33047">
            <w:r w:rsidRPr="00FF0DAC">
              <w:t>10</w:t>
            </w:r>
          </w:p>
        </w:tc>
      </w:tr>
      <w:tr w:rsidR="00720F7D" w:rsidRPr="00FF0DAC" w14:paraId="3A418007" w14:textId="77777777" w:rsidTr="00D33047">
        <w:trPr>
          <w:tblCellSpacing w:w="15" w:type="dxa"/>
        </w:trPr>
        <w:tc>
          <w:tcPr>
            <w:tcW w:w="0" w:type="auto"/>
            <w:vAlign w:val="center"/>
            <w:hideMark/>
          </w:tcPr>
          <w:p w14:paraId="0554E4B0" w14:textId="77777777" w:rsidR="00720F7D" w:rsidRPr="00FF0DAC" w:rsidRDefault="00720F7D" w:rsidP="00D33047">
            <w:r w:rsidRPr="00FF0DAC">
              <w:rPr>
                <w:b/>
                <w:bCs/>
              </w:rPr>
              <w:t>Q</w:t>
            </w:r>
            <w:r w:rsidRPr="00FF0DAC">
              <w:t>uittungen</w:t>
            </w:r>
          </w:p>
        </w:tc>
        <w:tc>
          <w:tcPr>
            <w:tcW w:w="0" w:type="auto"/>
            <w:vAlign w:val="center"/>
            <w:hideMark/>
          </w:tcPr>
          <w:p w14:paraId="24D5D462" w14:textId="77777777" w:rsidR="00720F7D" w:rsidRPr="00FF0DAC" w:rsidRDefault="00720F7D" w:rsidP="00D33047">
            <w:r w:rsidRPr="00FF0DAC">
              <w:t>10</w:t>
            </w:r>
          </w:p>
        </w:tc>
      </w:tr>
      <w:tr w:rsidR="00720F7D" w:rsidRPr="00FF0DAC" w14:paraId="41BC32A9" w14:textId="77777777" w:rsidTr="00D33047">
        <w:trPr>
          <w:tblCellSpacing w:w="15" w:type="dxa"/>
        </w:trPr>
        <w:tc>
          <w:tcPr>
            <w:tcW w:w="0" w:type="auto"/>
            <w:vAlign w:val="center"/>
            <w:hideMark/>
          </w:tcPr>
          <w:p w14:paraId="7DD970DE" w14:textId="77777777" w:rsidR="00720F7D" w:rsidRPr="00FF0DAC" w:rsidRDefault="00720F7D" w:rsidP="00D33047">
            <w:r w:rsidRPr="00FF0DAC">
              <w:rPr>
                <w:b/>
                <w:bCs/>
              </w:rPr>
              <w:t>R</w:t>
            </w:r>
            <w:r w:rsidRPr="00FF0DAC">
              <w:t>echnungen an Unternehmer</w:t>
            </w:r>
          </w:p>
        </w:tc>
        <w:tc>
          <w:tcPr>
            <w:tcW w:w="0" w:type="auto"/>
            <w:vAlign w:val="center"/>
            <w:hideMark/>
          </w:tcPr>
          <w:p w14:paraId="19CBFD2C" w14:textId="77777777" w:rsidR="00720F7D" w:rsidRPr="00FF0DAC" w:rsidRDefault="00720F7D" w:rsidP="00D33047">
            <w:r w:rsidRPr="00FF0DAC">
              <w:t>10</w:t>
            </w:r>
          </w:p>
        </w:tc>
      </w:tr>
      <w:tr w:rsidR="00720F7D" w:rsidRPr="00FF0DAC" w14:paraId="3EC54C0D" w14:textId="77777777" w:rsidTr="00D33047">
        <w:trPr>
          <w:tblCellSpacing w:w="15" w:type="dxa"/>
        </w:trPr>
        <w:tc>
          <w:tcPr>
            <w:tcW w:w="0" w:type="auto"/>
            <w:vAlign w:val="center"/>
            <w:hideMark/>
          </w:tcPr>
          <w:p w14:paraId="6BF067A4" w14:textId="77777777" w:rsidR="00720F7D" w:rsidRPr="00FF0DAC" w:rsidRDefault="00720F7D" w:rsidP="00D33047">
            <w:r w:rsidRPr="00FF0DAC">
              <w:t>Rechnungen an Nichtunternehmer</w:t>
            </w:r>
          </w:p>
          <w:p w14:paraId="00C4EE27" w14:textId="77777777" w:rsidR="00720F7D" w:rsidRPr="00FF0DAC" w:rsidRDefault="00720F7D" w:rsidP="00D33047">
            <w:r w:rsidRPr="00FF0DAC">
              <w:t>im Zusammenhang mit Grundstücken (Hinweispflicht)</w:t>
            </w:r>
          </w:p>
        </w:tc>
        <w:tc>
          <w:tcPr>
            <w:tcW w:w="0" w:type="auto"/>
            <w:vAlign w:val="center"/>
            <w:hideMark/>
          </w:tcPr>
          <w:p w14:paraId="1DF0ED1E" w14:textId="77777777" w:rsidR="00720F7D" w:rsidRPr="00FF0DAC" w:rsidRDefault="00720F7D" w:rsidP="00D33047">
            <w:r w:rsidRPr="00FF0DAC">
              <w:t>2</w:t>
            </w:r>
          </w:p>
        </w:tc>
      </w:tr>
      <w:tr w:rsidR="00720F7D" w:rsidRPr="00FF0DAC" w14:paraId="0FF37475" w14:textId="77777777" w:rsidTr="00D33047">
        <w:trPr>
          <w:tblCellSpacing w:w="15" w:type="dxa"/>
        </w:trPr>
        <w:tc>
          <w:tcPr>
            <w:tcW w:w="0" w:type="auto"/>
            <w:vAlign w:val="center"/>
            <w:hideMark/>
          </w:tcPr>
          <w:p w14:paraId="32035DE3" w14:textId="77777777" w:rsidR="00720F7D" w:rsidRPr="00FF0DAC" w:rsidRDefault="00720F7D" w:rsidP="00D33047">
            <w:r w:rsidRPr="00FF0DAC">
              <w:lastRenderedPageBreak/>
              <w:t>Reisekostenabrechnung</w:t>
            </w:r>
          </w:p>
        </w:tc>
        <w:tc>
          <w:tcPr>
            <w:tcW w:w="0" w:type="auto"/>
            <w:vAlign w:val="center"/>
            <w:hideMark/>
          </w:tcPr>
          <w:p w14:paraId="46359073" w14:textId="77777777" w:rsidR="00720F7D" w:rsidRPr="00FF0DAC" w:rsidRDefault="00720F7D" w:rsidP="00D33047">
            <w:r w:rsidRPr="00FF0DAC">
              <w:t>10</w:t>
            </w:r>
          </w:p>
        </w:tc>
      </w:tr>
      <w:tr w:rsidR="00720F7D" w:rsidRPr="00FF0DAC" w14:paraId="0391AFD6" w14:textId="77777777" w:rsidTr="00D33047">
        <w:trPr>
          <w:tblCellSpacing w:w="15" w:type="dxa"/>
        </w:trPr>
        <w:tc>
          <w:tcPr>
            <w:tcW w:w="0" w:type="auto"/>
            <w:vAlign w:val="center"/>
            <w:hideMark/>
          </w:tcPr>
          <w:p w14:paraId="09C75678" w14:textId="77777777" w:rsidR="00720F7D" w:rsidRPr="00FF0DAC" w:rsidRDefault="00720F7D" w:rsidP="00D33047">
            <w:r w:rsidRPr="00FF0DAC">
              <w:t>Repräsentationsaufwendungen (Unterlagen)</w:t>
            </w:r>
          </w:p>
        </w:tc>
        <w:tc>
          <w:tcPr>
            <w:tcW w:w="0" w:type="auto"/>
            <w:vAlign w:val="center"/>
            <w:hideMark/>
          </w:tcPr>
          <w:p w14:paraId="3F4CE248" w14:textId="77777777" w:rsidR="00720F7D" w:rsidRPr="00FF0DAC" w:rsidRDefault="00720F7D" w:rsidP="00D33047">
            <w:r w:rsidRPr="00FF0DAC">
              <w:t>10</w:t>
            </w:r>
          </w:p>
        </w:tc>
      </w:tr>
      <w:tr w:rsidR="00720F7D" w:rsidRPr="00FF0DAC" w14:paraId="624AF342" w14:textId="77777777" w:rsidTr="00D33047">
        <w:trPr>
          <w:tblCellSpacing w:w="15" w:type="dxa"/>
        </w:trPr>
        <w:tc>
          <w:tcPr>
            <w:tcW w:w="0" w:type="auto"/>
            <w:vAlign w:val="center"/>
            <w:hideMark/>
          </w:tcPr>
          <w:p w14:paraId="071369C1" w14:textId="77777777" w:rsidR="00720F7D" w:rsidRPr="00FF0DAC" w:rsidRDefault="00720F7D" w:rsidP="00D33047">
            <w:r w:rsidRPr="00FF0DAC">
              <w:rPr>
                <w:b/>
                <w:bCs/>
              </w:rPr>
              <w:t>S</w:t>
            </w:r>
            <w:r w:rsidRPr="00FF0DAC">
              <w:t>achkonten</w:t>
            </w:r>
          </w:p>
        </w:tc>
        <w:tc>
          <w:tcPr>
            <w:tcW w:w="0" w:type="auto"/>
            <w:vAlign w:val="center"/>
            <w:hideMark/>
          </w:tcPr>
          <w:p w14:paraId="0ECCCFC2" w14:textId="77777777" w:rsidR="00720F7D" w:rsidRPr="00FF0DAC" w:rsidRDefault="00720F7D" w:rsidP="00D33047">
            <w:r w:rsidRPr="00FF0DAC">
              <w:t>10</w:t>
            </w:r>
          </w:p>
        </w:tc>
      </w:tr>
      <w:tr w:rsidR="00720F7D" w:rsidRPr="00FF0DAC" w14:paraId="7A96E907" w14:textId="77777777" w:rsidTr="00D33047">
        <w:trPr>
          <w:tblCellSpacing w:w="15" w:type="dxa"/>
        </w:trPr>
        <w:tc>
          <w:tcPr>
            <w:tcW w:w="0" w:type="auto"/>
            <w:vAlign w:val="center"/>
            <w:hideMark/>
          </w:tcPr>
          <w:p w14:paraId="70630423" w14:textId="77777777" w:rsidR="00720F7D" w:rsidRPr="00FF0DAC" w:rsidRDefault="00720F7D" w:rsidP="00D33047">
            <w:r w:rsidRPr="00FF0DAC">
              <w:t>Saldenbilanzen</w:t>
            </w:r>
          </w:p>
        </w:tc>
        <w:tc>
          <w:tcPr>
            <w:tcW w:w="0" w:type="auto"/>
            <w:vAlign w:val="center"/>
            <w:hideMark/>
          </w:tcPr>
          <w:p w14:paraId="21A2B8C4" w14:textId="77777777" w:rsidR="00720F7D" w:rsidRPr="00FF0DAC" w:rsidRDefault="00720F7D" w:rsidP="00D33047">
            <w:r w:rsidRPr="00FF0DAC">
              <w:t>10</w:t>
            </w:r>
          </w:p>
        </w:tc>
      </w:tr>
      <w:tr w:rsidR="00720F7D" w:rsidRPr="00FF0DAC" w14:paraId="26E5403A" w14:textId="77777777" w:rsidTr="00D33047">
        <w:trPr>
          <w:tblCellSpacing w:w="15" w:type="dxa"/>
        </w:trPr>
        <w:tc>
          <w:tcPr>
            <w:tcW w:w="0" w:type="auto"/>
            <w:vAlign w:val="center"/>
            <w:hideMark/>
          </w:tcPr>
          <w:p w14:paraId="0A76A9BB" w14:textId="77777777" w:rsidR="00720F7D" w:rsidRPr="00FF0DAC" w:rsidRDefault="00720F7D" w:rsidP="00D33047">
            <w:r w:rsidRPr="00FF0DAC">
              <w:t>Schadensunterlagen,</w:t>
            </w:r>
          </w:p>
          <w:p w14:paraId="055A2BE6" w14:textId="77777777" w:rsidR="00720F7D" w:rsidRPr="00FF0DAC" w:rsidRDefault="00720F7D" w:rsidP="00D33047">
            <w:r w:rsidRPr="00FF0DAC">
              <w:t>wenn Bilanzunterlagen</w:t>
            </w:r>
          </w:p>
        </w:tc>
        <w:tc>
          <w:tcPr>
            <w:tcW w:w="0" w:type="auto"/>
            <w:vAlign w:val="center"/>
            <w:hideMark/>
          </w:tcPr>
          <w:p w14:paraId="6F52DC89" w14:textId="77777777" w:rsidR="00720F7D" w:rsidRPr="00FF0DAC" w:rsidRDefault="00720F7D" w:rsidP="00D33047">
            <w:r w:rsidRPr="00FF0DAC">
              <w:t>6</w:t>
            </w:r>
          </w:p>
          <w:p w14:paraId="58E366A2" w14:textId="77777777" w:rsidR="00720F7D" w:rsidRPr="00FF0DAC" w:rsidRDefault="00720F7D" w:rsidP="00D33047">
            <w:r w:rsidRPr="00FF0DAC">
              <w:t>10</w:t>
            </w:r>
          </w:p>
        </w:tc>
      </w:tr>
      <w:tr w:rsidR="00720F7D" w:rsidRPr="00FF0DAC" w14:paraId="0899530E" w14:textId="77777777" w:rsidTr="00D33047">
        <w:trPr>
          <w:tblCellSpacing w:w="15" w:type="dxa"/>
        </w:trPr>
        <w:tc>
          <w:tcPr>
            <w:tcW w:w="0" w:type="auto"/>
            <w:vAlign w:val="center"/>
            <w:hideMark/>
          </w:tcPr>
          <w:p w14:paraId="43DDAFB6" w14:textId="77777777" w:rsidR="00720F7D" w:rsidRPr="00FF0DAC" w:rsidRDefault="00720F7D" w:rsidP="00D33047">
            <w:r w:rsidRPr="00FF0DAC">
              <w:t>Scheck- und Wechselunterlagen,</w:t>
            </w:r>
          </w:p>
          <w:p w14:paraId="2AAAAD43" w14:textId="77777777" w:rsidR="00720F7D" w:rsidRPr="00FF0DAC" w:rsidRDefault="00720F7D" w:rsidP="00D33047">
            <w:r w:rsidRPr="00FF0DAC">
              <w:t>als Buchungsbeleg</w:t>
            </w:r>
          </w:p>
        </w:tc>
        <w:tc>
          <w:tcPr>
            <w:tcW w:w="0" w:type="auto"/>
            <w:vAlign w:val="center"/>
            <w:hideMark/>
          </w:tcPr>
          <w:p w14:paraId="70C5BC80" w14:textId="77777777" w:rsidR="00720F7D" w:rsidRPr="00FF0DAC" w:rsidRDefault="00720F7D" w:rsidP="00D33047">
            <w:r w:rsidRPr="00FF0DAC">
              <w:t>6</w:t>
            </w:r>
          </w:p>
          <w:p w14:paraId="6CDD808B" w14:textId="77777777" w:rsidR="00720F7D" w:rsidRPr="00FF0DAC" w:rsidRDefault="00720F7D" w:rsidP="00D33047">
            <w:r w:rsidRPr="00FF0DAC">
              <w:t>10</w:t>
            </w:r>
          </w:p>
        </w:tc>
      </w:tr>
      <w:tr w:rsidR="00720F7D" w:rsidRPr="00FF0DAC" w14:paraId="24984087" w14:textId="77777777" w:rsidTr="00D33047">
        <w:trPr>
          <w:tblCellSpacing w:w="15" w:type="dxa"/>
        </w:trPr>
        <w:tc>
          <w:tcPr>
            <w:tcW w:w="0" w:type="auto"/>
            <w:vAlign w:val="center"/>
            <w:hideMark/>
          </w:tcPr>
          <w:p w14:paraId="7D13EB9E" w14:textId="77777777" w:rsidR="00720F7D" w:rsidRPr="00FF0DAC" w:rsidRDefault="00720F7D" w:rsidP="00D33047">
            <w:r w:rsidRPr="00FF0DAC">
              <w:t>Schriftwechsel</w:t>
            </w:r>
          </w:p>
        </w:tc>
        <w:tc>
          <w:tcPr>
            <w:tcW w:w="0" w:type="auto"/>
            <w:vAlign w:val="center"/>
            <w:hideMark/>
          </w:tcPr>
          <w:p w14:paraId="0042FAB2" w14:textId="77777777" w:rsidR="00720F7D" w:rsidRPr="00FF0DAC" w:rsidRDefault="00720F7D" w:rsidP="00D33047">
            <w:r w:rsidRPr="00FF0DAC">
              <w:t>6</w:t>
            </w:r>
          </w:p>
        </w:tc>
      </w:tr>
      <w:tr w:rsidR="00720F7D" w:rsidRPr="00FF0DAC" w14:paraId="7362647A" w14:textId="77777777" w:rsidTr="00D33047">
        <w:trPr>
          <w:tblCellSpacing w:w="15" w:type="dxa"/>
        </w:trPr>
        <w:tc>
          <w:tcPr>
            <w:tcW w:w="0" w:type="auto"/>
            <w:vAlign w:val="center"/>
            <w:hideMark/>
          </w:tcPr>
          <w:p w14:paraId="7FF047EB" w14:textId="77777777" w:rsidR="00720F7D" w:rsidRPr="00FF0DAC" w:rsidRDefault="00720F7D" w:rsidP="00D33047">
            <w:r w:rsidRPr="00FF0DAC">
              <w:t>Speicherbelegungsplan der EDV-Buchführung</w:t>
            </w:r>
          </w:p>
        </w:tc>
        <w:tc>
          <w:tcPr>
            <w:tcW w:w="0" w:type="auto"/>
            <w:vAlign w:val="center"/>
            <w:hideMark/>
          </w:tcPr>
          <w:p w14:paraId="4003F889" w14:textId="77777777" w:rsidR="00720F7D" w:rsidRPr="00FF0DAC" w:rsidRDefault="00720F7D" w:rsidP="00D33047">
            <w:r w:rsidRPr="00FF0DAC">
              <w:t>10</w:t>
            </w:r>
          </w:p>
        </w:tc>
      </w:tr>
      <w:tr w:rsidR="00720F7D" w:rsidRPr="00FF0DAC" w14:paraId="6F9F2277" w14:textId="77777777" w:rsidTr="00D33047">
        <w:trPr>
          <w:tblCellSpacing w:w="15" w:type="dxa"/>
        </w:trPr>
        <w:tc>
          <w:tcPr>
            <w:tcW w:w="0" w:type="auto"/>
            <w:vAlign w:val="center"/>
            <w:hideMark/>
          </w:tcPr>
          <w:p w14:paraId="20B58BD1" w14:textId="77777777" w:rsidR="00720F7D" w:rsidRPr="00FF0DAC" w:rsidRDefault="00720F7D" w:rsidP="00D33047">
            <w:r w:rsidRPr="00FF0DAC">
              <w:t>Spendenbescheinigungen, sofern Buchungsunterlagen</w:t>
            </w:r>
          </w:p>
        </w:tc>
        <w:tc>
          <w:tcPr>
            <w:tcW w:w="0" w:type="auto"/>
            <w:vAlign w:val="center"/>
            <w:hideMark/>
          </w:tcPr>
          <w:p w14:paraId="6FC18F30" w14:textId="77777777" w:rsidR="00720F7D" w:rsidRPr="00FF0DAC" w:rsidRDefault="00720F7D" w:rsidP="00D33047">
            <w:r w:rsidRPr="00FF0DAC">
              <w:t>10</w:t>
            </w:r>
          </w:p>
        </w:tc>
      </w:tr>
      <w:tr w:rsidR="00720F7D" w:rsidRPr="00FF0DAC" w14:paraId="38FFB093" w14:textId="77777777" w:rsidTr="00D33047">
        <w:trPr>
          <w:tblCellSpacing w:w="15" w:type="dxa"/>
        </w:trPr>
        <w:tc>
          <w:tcPr>
            <w:tcW w:w="0" w:type="auto"/>
            <w:vAlign w:val="center"/>
            <w:hideMark/>
          </w:tcPr>
          <w:p w14:paraId="46FA1D26" w14:textId="77777777" w:rsidR="00720F7D" w:rsidRPr="00FF0DAC" w:rsidRDefault="00720F7D" w:rsidP="00D33047">
            <w:r w:rsidRPr="00FF0DAC">
              <w:t>Steuererklärungen und Steuerbescheide</w:t>
            </w:r>
          </w:p>
        </w:tc>
        <w:tc>
          <w:tcPr>
            <w:tcW w:w="0" w:type="auto"/>
            <w:vAlign w:val="center"/>
            <w:hideMark/>
          </w:tcPr>
          <w:p w14:paraId="043D26A1" w14:textId="77777777" w:rsidR="00720F7D" w:rsidRPr="00FF0DAC" w:rsidRDefault="00720F7D" w:rsidP="00D33047">
            <w:r w:rsidRPr="00FF0DAC">
              <w:t>10</w:t>
            </w:r>
          </w:p>
        </w:tc>
      </w:tr>
      <w:tr w:rsidR="00720F7D" w:rsidRPr="00FF0DAC" w14:paraId="3F6A74F7" w14:textId="77777777" w:rsidTr="00D33047">
        <w:trPr>
          <w:tblCellSpacing w:w="15" w:type="dxa"/>
        </w:trPr>
        <w:tc>
          <w:tcPr>
            <w:tcW w:w="0" w:type="auto"/>
            <w:vAlign w:val="center"/>
            <w:hideMark/>
          </w:tcPr>
          <w:p w14:paraId="4425D92F" w14:textId="77777777" w:rsidR="00720F7D" w:rsidRPr="00FF0DAC" w:rsidRDefault="00720F7D" w:rsidP="00D33047">
            <w:r w:rsidRPr="00FF0DAC">
              <w:t>Systemhandbücher</w:t>
            </w:r>
          </w:p>
        </w:tc>
        <w:tc>
          <w:tcPr>
            <w:tcW w:w="0" w:type="auto"/>
            <w:vAlign w:val="center"/>
            <w:hideMark/>
          </w:tcPr>
          <w:p w14:paraId="7B09BB7C" w14:textId="77777777" w:rsidR="00720F7D" w:rsidRPr="00FF0DAC" w:rsidRDefault="00720F7D" w:rsidP="00D33047">
            <w:r w:rsidRPr="00FF0DAC">
              <w:t>10</w:t>
            </w:r>
          </w:p>
        </w:tc>
      </w:tr>
      <w:tr w:rsidR="00720F7D" w:rsidRPr="00FF0DAC" w14:paraId="18CA5187" w14:textId="77777777" w:rsidTr="00D33047">
        <w:trPr>
          <w:tblCellSpacing w:w="15" w:type="dxa"/>
        </w:trPr>
        <w:tc>
          <w:tcPr>
            <w:tcW w:w="0" w:type="auto"/>
            <w:vAlign w:val="center"/>
            <w:hideMark/>
          </w:tcPr>
          <w:p w14:paraId="7215F760" w14:textId="77777777" w:rsidR="00720F7D" w:rsidRPr="00FF0DAC" w:rsidRDefault="00720F7D" w:rsidP="00D33047">
            <w:r w:rsidRPr="00FF0DAC">
              <w:rPr>
                <w:b/>
                <w:bCs/>
              </w:rPr>
              <w:t>T</w:t>
            </w:r>
            <w:r w:rsidRPr="00FF0DAC">
              <w:t>elefonkostennachweise, wenn Buchungsbelege</w:t>
            </w:r>
          </w:p>
        </w:tc>
        <w:tc>
          <w:tcPr>
            <w:tcW w:w="0" w:type="auto"/>
            <w:vAlign w:val="center"/>
            <w:hideMark/>
          </w:tcPr>
          <w:p w14:paraId="4FC0214C" w14:textId="77777777" w:rsidR="00720F7D" w:rsidRPr="00FF0DAC" w:rsidRDefault="00720F7D" w:rsidP="00D33047">
            <w:r w:rsidRPr="00FF0DAC">
              <w:t>10</w:t>
            </w:r>
          </w:p>
        </w:tc>
      </w:tr>
      <w:tr w:rsidR="00720F7D" w:rsidRPr="00FF0DAC" w14:paraId="5863B64C" w14:textId="77777777" w:rsidTr="00D33047">
        <w:trPr>
          <w:tblCellSpacing w:w="15" w:type="dxa"/>
        </w:trPr>
        <w:tc>
          <w:tcPr>
            <w:tcW w:w="0" w:type="auto"/>
            <w:vAlign w:val="center"/>
            <w:hideMark/>
          </w:tcPr>
          <w:p w14:paraId="24A6779E" w14:textId="77777777" w:rsidR="00720F7D" w:rsidRPr="00FF0DAC" w:rsidRDefault="00720F7D" w:rsidP="00D33047">
            <w:r w:rsidRPr="00FF0DAC">
              <w:rPr>
                <w:b/>
                <w:bCs/>
              </w:rPr>
              <w:t>Ü</w:t>
            </w:r>
            <w:r w:rsidRPr="00FF0DAC">
              <w:t>berstundenlisten, wenn Lohnbelege</w:t>
            </w:r>
          </w:p>
        </w:tc>
        <w:tc>
          <w:tcPr>
            <w:tcW w:w="0" w:type="auto"/>
            <w:vAlign w:val="center"/>
            <w:hideMark/>
          </w:tcPr>
          <w:p w14:paraId="2147BE7E" w14:textId="77777777" w:rsidR="00720F7D" w:rsidRPr="00FF0DAC" w:rsidRDefault="00720F7D" w:rsidP="00D33047">
            <w:r w:rsidRPr="00FF0DAC">
              <w:t>10</w:t>
            </w:r>
          </w:p>
        </w:tc>
      </w:tr>
      <w:tr w:rsidR="00720F7D" w:rsidRPr="00FF0DAC" w14:paraId="7DC65D0C" w14:textId="77777777" w:rsidTr="00D33047">
        <w:trPr>
          <w:tblCellSpacing w:w="15" w:type="dxa"/>
        </w:trPr>
        <w:tc>
          <w:tcPr>
            <w:tcW w:w="0" w:type="auto"/>
            <w:vAlign w:val="center"/>
            <w:hideMark/>
          </w:tcPr>
          <w:p w14:paraId="0455693D" w14:textId="77777777" w:rsidR="00720F7D" w:rsidRPr="00FF0DAC" w:rsidRDefault="00720F7D" w:rsidP="00D33047">
            <w:r w:rsidRPr="00FF0DAC">
              <w:t>Unterlagen von Bedeutung für Besteuerung</w:t>
            </w:r>
          </w:p>
        </w:tc>
        <w:tc>
          <w:tcPr>
            <w:tcW w:w="0" w:type="auto"/>
            <w:vAlign w:val="center"/>
            <w:hideMark/>
          </w:tcPr>
          <w:p w14:paraId="5BB304A7" w14:textId="77777777" w:rsidR="00720F7D" w:rsidRPr="00FF0DAC" w:rsidRDefault="00720F7D" w:rsidP="00D33047">
            <w:r w:rsidRPr="00FF0DAC">
              <w:t>6</w:t>
            </w:r>
          </w:p>
        </w:tc>
      </w:tr>
      <w:tr w:rsidR="00720F7D" w:rsidRPr="00FF0DAC" w14:paraId="74342940" w14:textId="77777777" w:rsidTr="00D33047">
        <w:trPr>
          <w:tblCellSpacing w:w="15" w:type="dxa"/>
        </w:trPr>
        <w:tc>
          <w:tcPr>
            <w:tcW w:w="0" w:type="auto"/>
            <w:vAlign w:val="center"/>
            <w:hideMark/>
          </w:tcPr>
          <w:p w14:paraId="3DEC8228" w14:textId="77777777" w:rsidR="00720F7D" w:rsidRPr="00FF0DAC" w:rsidRDefault="00720F7D" w:rsidP="00D33047">
            <w:r w:rsidRPr="00FF0DAC">
              <w:rPr>
                <w:b/>
                <w:bCs/>
              </w:rPr>
              <w:t>V</w:t>
            </w:r>
            <w:r w:rsidRPr="00FF0DAC">
              <w:t>erbindlichkeiten (Zusammenstellungen)</w:t>
            </w:r>
          </w:p>
        </w:tc>
        <w:tc>
          <w:tcPr>
            <w:tcW w:w="0" w:type="auto"/>
            <w:vAlign w:val="center"/>
            <w:hideMark/>
          </w:tcPr>
          <w:p w14:paraId="354A087B" w14:textId="77777777" w:rsidR="00720F7D" w:rsidRPr="00FF0DAC" w:rsidRDefault="00720F7D" w:rsidP="00D33047">
            <w:r w:rsidRPr="00FF0DAC">
              <w:t>10</w:t>
            </w:r>
          </w:p>
        </w:tc>
      </w:tr>
      <w:tr w:rsidR="00720F7D" w:rsidRPr="00FF0DAC" w14:paraId="67A55A6B" w14:textId="77777777" w:rsidTr="00D33047">
        <w:trPr>
          <w:tblCellSpacing w:w="15" w:type="dxa"/>
        </w:trPr>
        <w:tc>
          <w:tcPr>
            <w:tcW w:w="0" w:type="auto"/>
            <w:vAlign w:val="center"/>
            <w:hideMark/>
          </w:tcPr>
          <w:p w14:paraId="101F82E6" w14:textId="77777777" w:rsidR="00720F7D" w:rsidRPr="00FF0DAC" w:rsidRDefault="00720F7D" w:rsidP="00D33047">
            <w:r w:rsidRPr="00FF0DAC">
              <w:t>Verkaufsbücher</w:t>
            </w:r>
          </w:p>
        </w:tc>
        <w:tc>
          <w:tcPr>
            <w:tcW w:w="0" w:type="auto"/>
            <w:vAlign w:val="center"/>
            <w:hideMark/>
          </w:tcPr>
          <w:p w14:paraId="23ED74C4" w14:textId="77777777" w:rsidR="00720F7D" w:rsidRPr="00FF0DAC" w:rsidRDefault="00720F7D" w:rsidP="00D33047">
            <w:r w:rsidRPr="00FF0DAC">
              <w:t>10</w:t>
            </w:r>
          </w:p>
        </w:tc>
      </w:tr>
      <w:tr w:rsidR="00720F7D" w:rsidRPr="00FF0DAC" w14:paraId="4DBAADB8" w14:textId="77777777" w:rsidTr="00D33047">
        <w:trPr>
          <w:tblCellSpacing w:w="15" w:type="dxa"/>
        </w:trPr>
        <w:tc>
          <w:tcPr>
            <w:tcW w:w="0" w:type="auto"/>
            <w:vAlign w:val="center"/>
            <w:hideMark/>
          </w:tcPr>
          <w:p w14:paraId="4D8AA532" w14:textId="77777777" w:rsidR="00720F7D" w:rsidRPr="00FF0DAC" w:rsidRDefault="00720F7D" w:rsidP="00D33047">
            <w:r w:rsidRPr="00FF0DAC">
              <w:t>Vermögensverzeichnis</w:t>
            </w:r>
          </w:p>
        </w:tc>
        <w:tc>
          <w:tcPr>
            <w:tcW w:w="0" w:type="auto"/>
            <w:vAlign w:val="center"/>
            <w:hideMark/>
          </w:tcPr>
          <w:p w14:paraId="5AF03F56" w14:textId="77777777" w:rsidR="00720F7D" w:rsidRPr="00FF0DAC" w:rsidRDefault="00720F7D" w:rsidP="00D33047">
            <w:r w:rsidRPr="00FF0DAC">
              <w:t>10</w:t>
            </w:r>
          </w:p>
        </w:tc>
      </w:tr>
      <w:tr w:rsidR="00720F7D" w:rsidRPr="00FF0DAC" w14:paraId="7CAB257D" w14:textId="77777777" w:rsidTr="00D33047">
        <w:trPr>
          <w:tblCellSpacing w:w="15" w:type="dxa"/>
        </w:trPr>
        <w:tc>
          <w:tcPr>
            <w:tcW w:w="0" w:type="auto"/>
            <w:vAlign w:val="center"/>
            <w:hideMark/>
          </w:tcPr>
          <w:p w14:paraId="0DA73FC4" w14:textId="77777777" w:rsidR="00720F7D" w:rsidRPr="00FF0DAC" w:rsidRDefault="00720F7D" w:rsidP="00D33047">
            <w:r w:rsidRPr="00FF0DAC">
              <w:t>Vermögenswirksame Leistungen (Unterlagen)**,</w:t>
            </w:r>
          </w:p>
          <w:p w14:paraId="64460676" w14:textId="77777777" w:rsidR="00720F7D" w:rsidRPr="00FF0DAC" w:rsidRDefault="00720F7D" w:rsidP="00D33047">
            <w:r w:rsidRPr="00FF0DAC">
              <w:t>wenn Buchungsbelege</w:t>
            </w:r>
          </w:p>
        </w:tc>
        <w:tc>
          <w:tcPr>
            <w:tcW w:w="0" w:type="auto"/>
            <w:vAlign w:val="center"/>
            <w:hideMark/>
          </w:tcPr>
          <w:p w14:paraId="6D72C8E9" w14:textId="77777777" w:rsidR="00720F7D" w:rsidRPr="00FF0DAC" w:rsidRDefault="00720F7D" w:rsidP="00D33047">
            <w:r w:rsidRPr="00FF0DAC">
              <w:t>6</w:t>
            </w:r>
          </w:p>
          <w:p w14:paraId="67928FFF" w14:textId="77777777" w:rsidR="00720F7D" w:rsidRPr="00FF0DAC" w:rsidRDefault="00720F7D" w:rsidP="00D33047">
            <w:r w:rsidRPr="00FF0DAC">
              <w:t>10</w:t>
            </w:r>
          </w:p>
        </w:tc>
      </w:tr>
      <w:tr w:rsidR="00720F7D" w:rsidRPr="00FF0DAC" w14:paraId="4F1FD90A" w14:textId="77777777" w:rsidTr="00D33047">
        <w:trPr>
          <w:tblCellSpacing w:w="15" w:type="dxa"/>
        </w:trPr>
        <w:tc>
          <w:tcPr>
            <w:tcW w:w="0" w:type="auto"/>
            <w:vAlign w:val="center"/>
            <w:hideMark/>
          </w:tcPr>
          <w:p w14:paraId="4CCA3647" w14:textId="77777777" w:rsidR="00720F7D" w:rsidRPr="00FF0DAC" w:rsidRDefault="00720F7D" w:rsidP="00D33047">
            <w:r w:rsidRPr="00FF0DAC">
              <w:t>Versand- und Frachtunterlagen, wenn Buchungsbelege</w:t>
            </w:r>
          </w:p>
        </w:tc>
        <w:tc>
          <w:tcPr>
            <w:tcW w:w="0" w:type="auto"/>
            <w:vAlign w:val="center"/>
            <w:hideMark/>
          </w:tcPr>
          <w:p w14:paraId="04912407" w14:textId="77777777" w:rsidR="00720F7D" w:rsidRPr="00FF0DAC" w:rsidRDefault="00720F7D" w:rsidP="00D33047">
            <w:r w:rsidRPr="00FF0DAC">
              <w:t>10</w:t>
            </w:r>
          </w:p>
        </w:tc>
      </w:tr>
      <w:tr w:rsidR="00720F7D" w:rsidRPr="00FF0DAC" w14:paraId="50B06C5D" w14:textId="77777777" w:rsidTr="00D33047">
        <w:trPr>
          <w:tblCellSpacing w:w="15" w:type="dxa"/>
        </w:trPr>
        <w:tc>
          <w:tcPr>
            <w:tcW w:w="0" w:type="auto"/>
            <w:vAlign w:val="center"/>
            <w:hideMark/>
          </w:tcPr>
          <w:p w14:paraId="13D62CD4" w14:textId="77777777" w:rsidR="00720F7D" w:rsidRPr="00FF0DAC" w:rsidRDefault="00720F7D" w:rsidP="00D33047">
            <w:r w:rsidRPr="00FF0DAC">
              <w:t>Versicherungspolicen,</w:t>
            </w:r>
          </w:p>
          <w:p w14:paraId="1A826C7A" w14:textId="77777777" w:rsidR="00720F7D" w:rsidRPr="00FF0DAC" w:rsidRDefault="00720F7D" w:rsidP="00D33047">
            <w:r w:rsidRPr="00FF0DAC">
              <w:t>nach Ablauf der Versicherung</w:t>
            </w:r>
          </w:p>
        </w:tc>
        <w:tc>
          <w:tcPr>
            <w:tcW w:w="0" w:type="auto"/>
            <w:vAlign w:val="center"/>
            <w:hideMark/>
          </w:tcPr>
          <w:p w14:paraId="18884549" w14:textId="77777777" w:rsidR="00720F7D" w:rsidRPr="00FF0DAC" w:rsidRDefault="00720F7D" w:rsidP="00D33047">
            <w:r w:rsidRPr="00FF0DAC">
              <w:t>10</w:t>
            </w:r>
          </w:p>
          <w:p w14:paraId="3ED6C781" w14:textId="77777777" w:rsidR="00720F7D" w:rsidRPr="00FF0DAC" w:rsidRDefault="00720F7D" w:rsidP="00D33047">
            <w:r w:rsidRPr="00FF0DAC">
              <w:t>6</w:t>
            </w:r>
          </w:p>
        </w:tc>
      </w:tr>
      <w:tr w:rsidR="00720F7D" w:rsidRPr="00FF0DAC" w14:paraId="560956F8" w14:textId="77777777" w:rsidTr="00D33047">
        <w:trPr>
          <w:tblCellSpacing w:w="15" w:type="dxa"/>
        </w:trPr>
        <w:tc>
          <w:tcPr>
            <w:tcW w:w="0" w:type="auto"/>
            <w:vAlign w:val="center"/>
            <w:hideMark/>
          </w:tcPr>
          <w:p w14:paraId="1B3A1716" w14:textId="77777777" w:rsidR="00720F7D" w:rsidRPr="00FF0DAC" w:rsidRDefault="00720F7D" w:rsidP="00D33047">
            <w:r w:rsidRPr="00FF0DAC">
              <w:lastRenderedPageBreak/>
              <w:t>Verträge, sonstige, soweit handels- und steuerrechtlich von</w:t>
            </w:r>
          </w:p>
          <w:p w14:paraId="1E945EAB" w14:textId="77777777" w:rsidR="00720F7D" w:rsidRPr="00FF0DAC" w:rsidRDefault="00720F7D" w:rsidP="00D33047">
            <w:r w:rsidRPr="00FF0DAC">
              <w:t>Bedeutung und wenn Buchungsbelege</w:t>
            </w:r>
          </w:p>
        </w:tc>
        <w:tc>
          <w:tcPr>
            <w:tcW w:w="0" w:type="auto"/>
            <w:vAlign w:val="center"/>
            <w:hideMark/>
          </w:tcPr>
          <w:p w14:paraId="3D007806" w14:textId="77777777" w:rsidR="00720F7D" w:rsidRPr="00FF0DAC" w:rsidRDefault="00720F7D" w:rsidP="00D33047">
            <w:r w:rsidRPr="00FF0DAC">
              <w:t>10</w:t>
            </w:r>
          </w:p>
        </w:tc>
      </w:tr>
      <w:tr w:rsidR="00720F7D" w:rsidRPr="00FF0DAC" w14:paraId="6B1278DB" w14:textId="77777777" w:rsidTr="00D33047">
        <w:trPr>
          <w:tblCellSpacing w:w="15" w:type="dxa"/>
        </w:trPr>
        <w:tc>
          <w:tcPr>
            <w:tcW w:w="0" w:type="auto"/>
            <w:vAlign w:val="center"/>
            <w:hideMark/>
          </w:tcPr>
          <w:p w14:paraId="3F5A4B4D" w14:textId="77777777" w:rsidR="00720F7D" w:rsidRPr="00FF0DAC" w:rsidRDefault="00720F7D" w:rsidP="00D33047">
            <w:r w:rsidRPr="00FF0DAC">
              <w:rPr>
                <w:b/>
                <w:bCs/>
              </w:rPr>
              <w:t>W</w:t>
            </w:r>
            <w:r w:rsidRPr="00FF0DAC">
              <w:t>areneingangs- und Warenausgangsbücher</w:t>
            </w:r>
          </w:p>
        </w:tc>
        <w:tc>
          <w:tcPr>
            <w:tcW w:w="0" w:type="auto"/>
            <w:vAlign w:val="center"/>
            <w:hideMark/>
          </w:tcPr>
          <w:p w14:paraId="06078F56" w14:textId="77777777" w:rsidR="00720F7D" w:rsidRPr="00FF0DAC" w:rsidRDefault="00720F7D" w:rsidP="00D33047">
            <w:r w:rsidRPr="00FF0DAC">
              <w:t>10</w:t>
            </w:r>
          </w:p>
        </w:tc>
      </w:tr>
      <w:tr w:rsidR="00720F7D" w:rsidRPr="00FF0DAC" w14:paraId="25BA0E72" w14:textId="77777777" w:rsidTr="00D33047">
        <w:trPr>
          <w:tblCellSpacing w:w="15" w:type="dxa"/>
        </w:trPr>
        <w:tc>
          <w:tcPr>
            <w:tcW w:w="0" w:type="auto"/>
            <w:vAlign w:val="center"/>
            <w:hideMark/>
          </w:tcPr>
          <w:p w14:paraId="3EB3669D" w14:textId="77777777" w:rsidR="00720F7D" w:rsidRPr="00FF0DAC" w:rsidRDefault="00720F7D" w:rsidP="00D33047">
            <w:r w:rsidRPr="00FF0DAC">
              <w:t>Wechsel</w:t>
            </w:r>
          </w:p>
        </w:tc>
        <w:tc>
          <w:tcPr>
            <w:tcW w:w="0" w:type="auto"/>
            <w:vAlign w:val="center"/>
            <w:hideMark/>
          </w:tcPr>
          <w:p w14:paraId="03747506" w14:textId="77777777" w:rsidR="00720F7D" w:rsidRPr="00FF0DAC" w:rsidRDefault="00720F7D" w:rsidP="00D33047">
            <w:r w:rsidRPr="00FF0DAC">
              <w:t>10</w:t>
            </w:r>
          </w:p>
        </w:tc>
      </w:tr>
      <w:tr w:rsidR="00720F7D" w:rsidRPr="00FF0DAC" w14:paraId="3683EFFB" w14:textId="77777777" w:rsidTr="00D33047">
        <w:trPr>
          <w:tblCellSpacing w:w="15" w:type="dxa"/>
        </w:trPr>
        <w:tc>
          <w:tcPr>
            <w:tcW w:w="0" w:type="auto"/>
            <w:vAlign w:val="center"/>
            <w:hideMark/>
          </w:tcPr>
          <w:p w14:paraId="6DC8E5C8" w14:textId="77777777" w:rsidR="00720F7D" w:rsidRPr="00FF0DAC" w:rsidRDefault="00720F7D" w:rsidP="00D33047">
            <w:r w:rsidRPr="00FF0DAC">
              <w:rPr>
                <w:b/>
                <w:bCs/>
              </w:rPr>
              <w:t>Z</w:t>
            </w:r>
            <w:r w:rsidRPr="00FF0DAC">
              <w:t>ahlungsanweisungen</w:t>
            </w:r>
          </w:p>
        </w:tc>
        <w:tc>
          <w:tcPr>
            <w:tcW w:w="0" w:type="auto"/>
            <w:vAlign w:val="center"/>
            <w:hideMark/>
          </w:tcPr>
          <w:p w14:paraId="4F24169A" w14:textId="77777777" w:rsidR="00720F7D" w:rsidRPr="00FF0DAC" w:rsidRDefault="00720F7D" w:rsidP="00D33047">
            <w:r w:rsidRPr="00FF0DAC">
              <w:t>10</w:t>
            </w:r>
          </w:p>
        </w:tc>
      </w:tr>
      <w:tr w:rsidR="00720F7D" w:rsidRPr="00FF0DAC" w14:paraId="725269F4" w14:textId="77777777" w:rsidTr="00D33047">
        <w:trPr>
          <w:tblCellSpacing w:w="15" w:type="dxa"/>
        </w:trPr>
        <w:tc>
          <w:tcPr>
            <w:tcW w:w="0" w:type="auto"/>
            <w:vAlign w:val="center"/>
            <w:hideMark/>
          </w:tcPr>
          <w:p w14:paraId="7E9A4872" w14:textId="77777777" w:rsidR="00720F7D" w:rsidRPr="00FF0DAC" w:rsidRDefault="00720F7D" w:rsidP="00D33047">
            <w:r w:rsidRPr="00FF0DAC">
              <w:t>Zollbelege</w:t>
            </w:r>
          </w:p>
        </w:tc>
        <w:tc>
          <w:tcPr>
            <w:tcW w:w="0" w:type="auto"/>
            <w:vAlign w:val="center"/>
            <w:hideMark/>
          </w:tcPr>
          <w:p w14:paraId="7FDA3C90" w14:textId="77777777" w:rsidR="00720F7D" w:rsidRPr="00FF0DAC" w:rsidRDefault="00720F7D" w:rsidP="00D33047">
            <w:r w:rsidRPr="00FF0DAC">
              <w:t>10</w:t>
            </w:r>
          </w:p>
        </w:tc>
      </w:tr>
      <w:tr w:rsidR="00720F7D" w:rsidRPr="00FF0DAC" w14:paraId="37D5017D" w14:textId="77777777" w:rsidTr="00D33047">
        <w:trPr>
          <w:tblCellSpacing w:w="15" w:type="dxa"/>
        </w:trPr>
        <w:tc>
          <w:tcPr>
            <w:tcW w:w="0" w:type="auto"/>
            <w:vAlign w:val="center"/>
            <w:hideMark/>
          </w:tcPr>
          <w:p w14:paraId="5EB7A967" w14:textId="77777777" w:rsidR="00720F7D" w:rsidRPr="00FF0DAC" w:rsidRDefault="00720F7D" w:rsidP="00D33047">
            <w:r w:rsidRPr="00FF0DAC">
              <w:t>Zugriffsregelungen bei EDV-Buchführung</w:t>
            </w:r>
          </w:p>
        </w:tc>
        <w:tc>
          <w:tcPr>
            <w:tcW w:w="0" w:type="auto"/>
            <w:vAlign w:val="center"/>
            <w:hideMark/>
          </w:tcPr>
          <w:p w14:paraId="46EAC6AF" w14:textId="77777777" w:rsidR="00720F7D" w:rsidRPr="00FF0DAC" w:rsidRDefault="00720F7D" w:rsidP="00D33047">
            <w:r w:rsidRPr="00FF0DAC">
              <w:t>10</w:t>
            </w:r>
          </w:p>
        </w:tc>
      </w:tr>
      <w:tr w:rsidR="00720F7D" w:rsidRPr="00FF0DAC" w14:paraId="7C1B62DF" w14:textId="77777777" w:rsidTr="00D33047">
        <w:trPr>
          <w:tblCellSpacing w:w="15" w:type="dxa"/>
        </w:trPr>
        <w:tc>
          <w:tcPr>
            <w:tcW w:w="0" w:type="auto"/>
            <w:vAlign w:val="center"/>
            <w:hideMark/>
          </w:tcPr>
          <w:p w14:paraId="01A6F10E" w14:textId="77777777" w:rsidR="00720F7D" w:rsidRPr="00FF0DAC" w:rsidRDefault="00720F7D" w:rsidP="00D33047">
            <w:r w:rsidRPr="00FF0DAC">
              <w:t>Zwischenbilanz (bei Gesellschafterwechsel oder Umstellung des Wirtschaftsjahres)</w:t>
            </w:r>
          </w:p>
        </w:tc>
        <w:tc>
          <w:tcPr>
            <w:tcW w:w="0" w:type="auto"/>
            <w:vAlign w:val="center"/>
            <w:hideMark/>
          </w:tcPr>
          <w:p w14:paraId="7C7A54FD" w14:textId="77777777" w:rsidR="00720F7D" w:rsidRPr="00FF0DAC" w:rsidRDefault="00720F7D" w:rsidP="00D33047">
            <w:r w:rsidRPr="00FF0DAC">
              <w:t>10</w:t>
            </w:r>
          </w:p>
        </w:tc>
      </w:tr>
    </w:tbl>
    <w:p w14:paraId="41ACFF38" w14:textId="77777777" w:rsidR="00720F7D" w:rsidRPr="00FF0DAC" w:rsidRDefault="00720F7D" w:rsidP="00720F7D">
      <w:r w:rsidRPr="00FF0DAC">
        <w:t>* Für Protokolle über die Gewährung von Prämien für Verbesserungsvorschläge gilt eine 10-jährige Aufbewahrungsfrist. Für Protokolle der DÜVO- Meldungen (Datenübertragungsverordnung) dagegen nur eine 3- jährige.</w:t>
      </w:r>
    </w:p>
    <w:p w14:paraId="24C7EB13" w14:textId="77777777" w:rsidR="00720F7D" w:rsidRPr="00FF0DAC" w:rsidRDefault="00720F7D" w:rsidP="00720F7D">
      <w:r w:rsidRPr="00FF0DAC">
        <w:t>** Bei Buchungsbelegen gilt die 10-jährige Aufbewahrungsfrist, bei empfangenen Handels- und Geschäftsbriefen und Wiedergaben von Handels- und Geschäftsbriefen die 6-jährige.</w:t>
      </w:r>
    </w:p>
    <w:p w14:paraId="249208AD" w14:textId="77777777" w:rsidR="00720F7D" w:rsidRPr="00FF0DAC" w:rsidRDefault="00720F7D" w:rsidP="00720F7D">
      <w:pPr>
        <w:rPr>
          <w:rFonts w:ascii="Arial Narrow" w:hAnsi="Arial Narrow"/>
        </w:rPr>
      </w:pPr>
    </w:p>
    <w:p w14:paraId="1163A759" w14:textId="77777777" w:rsidR="00720F7D" w:rsidRPr="00FF0DAC" w:rsidRDefault="00720F7D" w:rsidP="00720F7D">
      <w:pPr>
        <w:jc w:val="both"/>
        <w:rPr>
          <w:rFonts w:cs="Arial"/>
          <w:sz w:val="18"/>
          <w:szCs w:val="18"/>
        </w:rPr>
      </w:pPr>
    </w:p>
    <w:p w14:paraId="3717B449" w14:textId="77777777" w:rsidR="00720F7D" w:rsidRPr="00FF0DAC" w:rsidRDefault="00720F7D" w:rsidP="00720F7D">
      <w:pPr>
        <w:jc w:val="both"/>
        <w:rPr>
          <w:rFonts w:cs="Arial"/>
          <w:sz w:val="18"/>
          <w:szCs w:val="18"/>
        </w:rPr>
      </w:pPr>
    </w:p>
    <w:p w14:paraId="236C1BC7" w14:textId="4C50EA09" w:rsidR="003F0766" w:rsidRPr="00FF0DAC" w:rsidRDefault="003F0766" w:rsidP="003F0766">
      <w:pPr>
        <w:jc w:val="both"/>
        <w:rPr>
          <w:rFonts w:cs="Arial"/>
          <w:b/>
        </w:rPr>
      </w:pPr>
      <w:r w:rsidRPr="00FF0DAC">
        <w:rPr>
          <w:rFonts w:eastAsia="Times New Roman" w:cs="Arial"/>
          <w:b/>
          <w:sz w:val="24"/>
          <w:szCs w:val="24"/>
          <w:lang w:eastAsia="de-DE"/>
        </w:rPr>
        <w:br w:type="column"/>
      </w:r>
      <w:r w:rsidRPr="00FF0DAC">
        <w:rPr>
          <w:rFonts w:cs="Arial"/>
          <w:b/>
        </w:rPr>
        <w:lastRenderedPageBreak/>
        <w:t xml:space="preserve">Anlage 7: Hinweise auf dauerhaft und nicht dauerhaft aufzubewahrende Dokumente: ein systematischer Überblick </w:t>
      </w:r>
    </w:p>
    <w:p w14:paraId="0572712C" w14:textId="77777777" w:rsidR="003F0766" w:rsidRPr="00FF0DAC" w:rsidRDefault="003F0766" w:rsidP="003F0766">
      <w:pPr>
        <w:jc w:val="both"/>
        <w:rPr>
          <w:rFonts w:cs="Arial"/>
        </w:rPr>
      </w:pPr>
    </w:p>
    <w:p w14:paraId="126C4A3A" w14:textId="77777777" w:rsidR="003F0766" w:rsidRPr="00FF0DAC" w:rsidRDefault="003F0766" w:rsidP="003F0766">
      <w:pPr>
        <w:pStyle w:val="Listenabsatz"/>
        <w:numPr>
          <w:ilvl w:val="0"/>
          <w:numId w:val="50"/>
        </w:numPr>
        <w:spacing w:after="0" w:line="240" w:lineRule="auto"/>
        <w:rPr>
          <w:rFonts w:cs="Arial"/>
          <w:b/>
        </w:rPr>
      </w:pPr>
      <w:r w:rsidRPr="00FF0DAC">
        <w:rPr>
          <w:rFonts w:cs="Arial"/>
          <w:b/>
        </w:rPr>
        <w:t>Grundsätzlich: Was ist aufzubewahren?</w:t>
      </w:r>
    </w:p>
    <w:p w14:paraId="5F68511C" w14:textId="77777777" w:rsidR="003F0766" w:rsidRPr="00FF0DAC" w:rsidRDefault="003F0766" w:rsidP="003F0766">
      <w:pPr>
        <w:pStyle w:val="Listenabsatz"/>
        <w:spacing w:after="0" w:line="240" w:lineRule="auto"/>
        <w:rPr>
          <w:rFonts w:cs="Arial"/>
          <w:b/>
        </w:rPr>
      </w:pPr>
    </w:p>
    <w:p w14:paraId="3FFC884C" w14:textId="77777777" w:rsidR="003F0766" w:rsidRPr="00FF0DAC" w:rsidRDefault="003F0766" w:rsidP="003F0766">
      <w:pPr>
        <w:jc w:val="both"/>
        <w:rPr>
          <w:rFonts w:cs="Arial"/>
        </w:rPr>
      </w:pPr>
      <w:r w:rsidRPr="00FF0DAC">
        <w:rPr>
          <w:rFonts w:cs="Arial"/>
        </w:rPr>
        <w:t xml:space="preserve">Grundsätzlich gilt für </w:t>
      </w:r>
      <w:r w:rsidRPr="00FF0DAC">
        <w:rPr>
          <w:rFonts w:cs="Arial"/>
          <w:u w:val="single"/>
        </w:rPr>
        <w:t>Dekanat- und Pfarrämter</w:t>
      </w:r>
      <w:r w:rsidRPr="00FF0DAC">
        <w:rPr>
          <w:rFonts w:cs="Arial"/>
        </w:rPr>
        <w:t xml:space="preserve"> mit Blick auf historisch bedeutsame Dokumente folgender Grundsatz: Dauerhaft aufzubewahren sind diejenigen Dokumente, die Ortsbezug aufweisen bzw. das kirchliche Leben im Kirchenbezirk bzw. vor Ort dokumentieren. Mit Blick auf den Aktenplan sind dies insbesondere die Hauptgruppen:</w:t>
      </w:r>
    </w:p>
    <w:p w14:paraId="56059F61" w14:textId="77777777" w:rsidR="003F0766" w:rsidRPr="00FF0DAC" w:rsidRDefault="003F0766" w:rsidP="003F0766">
      <w:pPr>
        <w:jc w:val="both"/>
        <w:rPr>
          <w:rFonts w:cs="Arial"/>
        </w:rPr>
      </w:pPr>
      <w:r w:rsidRPr="00FF0DAC">
        <w:rPr>
          <w:rFonts w:cs="Arial"/>
        </w:rPr>
        <w:t>3 – Kirchengemeinde</w:t>
      </w:r>
    </w:p>
    <w:p w14:paraId="30C028ED" w14:textId="77777777" w:rsidR="003F0766" w:rsidRPr="00FF0DAC" w:rsidRDefault="003F0766" w:rsidP="003F0766">
      <w:pPr>
        <w:jc w:val="both"/>
        <w:rPr>
          <w:rFonts w:cs="Arial"/>
        </w:rPr>
      </w:pPr>
      <w:r w:rsidRPr="00FF0DAC">
        <w:rPr>
          <w:rFonts w:cs="Arial"/>
        </w:rPr>
        <w:t>4 – kirchliche Gebäude</w:t>
      </w:r>
    </w:p>
    <w:p w14:paraId="56EEDA06" w14:textId="77777777" w:rsidR="003F0766" w:rsidRPr="00FF0DAC" w:rsidRDefault="003F0766" w:rsidP="003F0766">
      <w:pPr>
        <w:jc w:val="both"/>
        <w:rPr>
          <w:rFonts w:cs="Arial"/>
          <w:u w:val="single"/>
        </w:rPr>
      </w:pPr>
      <w:r w:rsidRPr="00FF0DAC">
        <w:rPr>
          <w:rFonts w:cs="Arial"/>
          <w:u w:val="single"/>
        </w:rPr>
        <w:t>5 – kirchliches Leben (!)</w:t>
      </w:r>
    </w:p>
    <w:p w14:paraId="242EEE6D" w14:textId="77777777" w:rsidR="003F0766" w:rsidRPr="00FF0DAC" w:rsidRDefault="003F0766" w:rsidP="003F0766">
      <w:pPr>
        <w:jc w:val="both"/>
        <w:rPr>
          <w:rFonts w:cs="Arial"/>
        </w:rPr>
      </w:pPr>
      <w:r w:rsidRPr="00FF0DAC">
        <w:rPr>
          <w:rFonts w:cs="Arial"/>
        </w:rPr>
        <w:t xml:space="preserve">7 – Finanzen (fällt überwiegend in die Zuständigkeit der </w:t>
      </w:r>
      <w:r w:rsidRPr="00FF0DAC">
        <w:rPr>
          <w:rFonts w:cs="Arial"/>
          <w:u w:val="single"/>
        </w:rPr>
        <w:t>Kirchenpflegen</w:t>
      </w:r>
      <w:r w:rsidRPr="00FF0DAC">
        <w:rPr>
          <w:rFonts w:cs="Arial"/>
        </w:rPr>
        <w:t xml:space="preserve">) </w:t>
      </w:r>
    </w:p>
    <w:p w14:paraId="377D81B2" w14:textId="77777777" w:rsidR="003F0766" w:rsidRPr="00FF0DAC" w:rsidRDefault="003F0766" w:rsidP="003F0766">
      <w:pPr>
        <w:jc w:val="both"/>
        <w:rPr>
          <w:rFonts w:cs="Arial"/>
        </w:rPr>
      </w:pPr>
      <w:r w:rsidRPr="00FF0DAC">
        <w:rPr>
          <w:rFonts w:cs="Arial"/>
        </w:rPr>
        <w:t>9 - Öffentlichkeitsarbeit</w:t>
      </w:r>
    </w:p>
    <w:p w14:paraId="64E5690C" w14:textId="77777777" w:rsidR="003F0766" w:rsidRPr="00FF0DAC" w:rsidRDefault="003F0766" w:rsidP="003F0766">
      <w:pPr>
        <w:jc w:val="both"/>
        <w:rPr>
          <w:rFonts w:cs="Arial"/>
        </w:rPr>
      </w:pPr>
      <w:r w:rsidRPr="00FF0DAC">
        <w:rPr>
          <w:rFonts w:cs="Arial"/>
        </w:rPr>
        <w:t xml:space="preserve">Grundsätzlich aufbewahrungswürdig ist überdies das </w:t>
      </w:r>
      <w:r w:rsidRPr="00FF0DAC">
        <w:rPr>
          <w:rFonts w:cs="Arial"/>
          <w:u w:val="single"/>
        </w:rPr>
        <w:t>Gemeindeb</w:t>
      </w:r>
      <w:r w:rsidR="00852BE6" w:rsidRPr="00FF0DAC">
        <w:rPr>
          <w:rFonts w:cs="Arial"/>
          <w:u w:val="single"/>
        </w:rPr>
        <w:t>rief</w:t>
      </w:r>
      <w:r w:rsidRPr="00FF0DAC">
        <w:rPr>
          <w:rFonts w:cs="Arial"/>
          <w:u w:val="single"/>
        </w:rPr>
        <w:t xml:space="preserve"> der eigenen Gemeinde.</w:t>
      </w:r>
    </w:p>
    <w:p w14:paraId="4FFBD3F7" w14:textId="77777777" w:rsidR="003F0766" w:rsidRPr="00FF0DAC" w:rsidRDefault="003F0766" w:rsidP="003F0766">
      <w:pPr>
        <w:jc w:val="both"/>
        <w:rPr>
          <w:rFonts w:cs="Arial"/>
        </w:rPr>
      </w:pPr>
    </w:p>
    <w:p w14:paraId="0AFF8612" w14:textId="77777777" w:rsidR="003F0766" w:rsidRPr="00FF0DAC" w:rsidRDefault="003F0766" w:rsidP="003F0766">
      <w:pPr>
        <w:jc w:val="both"/>
        <w:rPr>
          <w:rFonts w:cs="Arial"/>
          <w:b/>
        </w:rPr>
      </w:pPr>
      <w:r w:rsidRPr="00FF0DAC">
        <w:rPr>
          <w:rFonts w:cs="Arial"/>
          <w:b/>
        </w:rPr>
        <w:t>Dauerhaft oder befristet aufzubewahrende Unterlagen im Einzelnen</w:t>
      </w:r>
    </w:p>
    <w:p w14:paraId="07C72421" w14:textId="77777777" w:rsidR="003F0766" w:rsidRPr="00FF0DAC" w:rsidRDefault="003F0766" w:rsidP="003F0766">
      <w:pPr>
        <w:jc w:val="both"/>
        <w:rPr>
          <w:rFonts w:cs="Arial"/>
        </w:rPr>
      </w:pPr>
      <w:r w:rsidRPr="00FF0DAC">
        <w:rPr>
          <w:rFonts w:cs="Arial"/>
        </w:rPr>
        <w:t xml:space="preserve">Bestimmte Dokumente müssen aus rechtlichen Gründen oder weil sie als besonders (historisch) bedeutsam anzusehen sind dauerhaft aufbewahrt werden. Dazu zählen (ohne Anspruch auf Vollständigkeit) insbesondere folgende Unterlagen der Kirchenbezirke und Kirchengemeinden, </w:t>
      </w:r>
      <w:r w:rsidRPr="00FF0DAC">
        <w:rPr>
          <w:rFonts w:cs="Arial"/>
          <w:u w:val="single"/>
        </w:rPr>
        <w:t>soweit sie die eigene Körperschaft betreffen</w:t>
      </w:r>
      <w:r w:rsidRPr="00FF0DAC">
        <w:rPr>
          <w:rFonts w:cs="Arial"/>
        </w:rPr>
        <w:t>:</w:t>
      </w:r>
    </w:p>
    <w:p w14:paraId="7DC1B351" w14:textId="77777777" w:rsidR="003F0766" w:rsidRPr="00FF0DAC" w:rsidRDefault="003F0766" w:rsidP="003F0766">
      <w:pPr>
        <w:jc w:val="both"/>
        <w:rPr>
          <w:rFonts w:cs="Arial"/>
          <w:b/>
        </w:rPr>
      </w:pPr>
      <w:r w:rsidRPr="00FF0DAC">
        <w:rPr>
          <w:rFonts w:cs="Arial"/>
          <w:b/>
        </w:rPr>
        <w:t>Verfassung der Kirchenbezirke und Kirchengemeinden</w:t>
      </w:r>
    </w:p>
    <w:p w14:paraId="0B092683"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79171B45"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die Gründung und Organisation einer kirchlichen Körperschaft</w:t>
      </w:r>
    </w:p>
    <w:p w14:paraId="067E224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Satzungen, Geschäftsordnungen</w:t>
      </w:r>
    </w:p>
    <w:p w14:paraId="2FF69DBE"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Wahlen kirchlicher Körperschaften, ihrer Organe und Ausschüsse (nur Wahlvorschläge, Wahlprotokoll mit Wahlergebnis und Unterlagen über Veränderungen während der Wahlperiode)</w:t>
      </w:r>
    </w:p>
    <w:p w14:paraId="230E5D97"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Niederschriften und Verhandlungen kirchlicher Körperschaften, ihrer Organe und Ausschüsse, insbesondere</w:t>
      </w:r>
    </w:p>
    <w:p w14:paraId="79291BFB"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die Protokolle des Gemeinderats</w:t>
      </w:r>
    </w:p>
    <w:p w14:paraId="392359E1"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2 Jahre</w:t>
      </w:r>
    </w:p>
    <w:p w14:paraId="1C3BE395"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die Durchführung zu Wahlen kirchlicher Körperschaften</w:t>
      </w:r>
    </w:p>
    <w:p w14:paraId="4096929C" w14:textId="77777777" w:rsidR="003F0766" w:rsidRPr="00FF0DAC" w:rsidRDefault="003F0766" w:rsidP="003F0766">
      <w:pPr>
        <w:jc w:val="both"/>
        <w:rPr>
          <w:rFonts w:cs="Arial"/>
        </w:rPr>
      </w:pPr>
    </w:p>
    <w:p w14:paraId="6B834F73" w14:textId="77777777" w:rsidR="003F0766" w:rsidRPr="00FF0DAC" w:rsidRDefault="003F0766" w:rsidP="003F0766">
      <w:pPr>
        <w:jc w:val="both"/>
        <w:rPr>
          <w:rFonts w:cs="Arial"/>
        </w:rPr>
      </w:pPr>
      <w:r w:rsidRPr="00FF0DAC">
        <w:rPr>
          <w:rFonts w:cs="Arial"/>
          <w:b/>
        </w:rPr>
        <w:t xml:space="preserve">Kirchenbezirke und Kirchengemeinden in Staat, Gesellschaft, Diakonie </w:t>
      </w:r>
      <w:r w:rsidRPr="00FF0DAC">
        <w:rPr>
          <w:rFonts w:cs="Arial"/>
        </w:rPr>
        <w:t>(jeweils nur, wenn die eigene Körperschaft betroffen ist)</w:t>
      </w:r>
    </w:p>
    <w:p w14:paraId="278BD462"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3A5F72C4"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Beziehungen zu staatlichen, kommunalen und parteipolitischen Stellen, Organisationen und Einrichtungen</w:t>
      </w:r>
    </w:p>
    <w:p w14:paraId="7AC2A7C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Gesellschaftspolitische Arbeit</w:t>
      </w:r>
    </w:p>
    <w:p w14:paraId="18AAC686"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Veranstaltungen und besondere Ereignisse</w:t>
      </w:r>
    </w:p>
    <w:p w14:paraId="6A8EBEB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lastRenderedPageBreak/>
        <w:t>Arbeit der Gemeindekreise (Zielsetzung, Veranstaltung, Arbeitsberichte)</w:t>
      </w:r>
    </w:p>
    <w:p w14:paraId="01369F77"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Jugendarbeit und Jugendverbände</w:t>
      </w:r>
    </w:p>
    <w:p w14:paraId="279041D1"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Frauen-, Männer-, Familien und Seniorenarbeit</w:t>
      </w:r>
    </w:p>
    <w:p w14:paraId="6439C17F"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Aktivitäten in der Mission</w:t>
      </w:r>
    </w:p>
    <w:p w14:paraId="16C110E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Sonstige Zielgruppenarbeit</w:t>
      </w:r>
    </w:p>
    <w:p w14:paraId="07B2FF8F"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2 Jahre</w:t>
      </w:r>
    </w:p>
    <w:p w14:paraId="7902D1E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Rundschreiben überörtlicher Werke, Einrichtungen und Vereine</w:t>
      </w:r>
    </w:p>
    <w:p w14:paraId="7C3BC3FD" w14:textId="77777777" w:rsidR="003F0766" w:rsidRPr="00FF0DAC" w:rsidRDefault="003F0766" w:rsidP="003F0766">
      <w:pPr>
        <w:jc w:val="both"/>
        <w:rPr>
          <w:rFonts w:cs="Arial"/>
        </w:rPr>
      </w:pPr>
    </w:p>
    <w:p w14:paraId="1BDAB3ED" w14:textId="77777777" w:rsidR="003F0766" w:rsidRPr="00FF0DAC" w:rsidRDefault="003F0766" w:rsidP="003F0766">
      <w:pPr>
        <w:jc w:val="both"/>
        <w:rPr>
          <w:rFonts w:cs="Arial"/>
          <w:b/>
        </w:rPr>
      </w:pPr>
      <w:r w:rsidRPr="00FF0DAC">
        <w:rPr>
          <w:rFonts w:cs="Arial"/>
          <w:b/>
        </w:rPr>
        <w:t>Mitarbeitende der Kirchenbezirke und Kirchengemeinden</w:t>
      </w:r>
    </w:p>
    <w:p w14:paraId="30355E0B"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0A65A8C3"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Einrichtung, Besetzung und Bewertung von Stellen</w:t>
      </w:r>
    </w:p>
    <w:p w14:paraId="7907EF5E"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Stellenpläne</w:t>
      </w:r>
    </w:p>
    <w:p w14:paraId="4076E1A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Personalakten von Personen in leitender Stellung und mit wichtigen Funktionen</w:t>
      </w:r>
    </w:p>
    <w:p w14:paraId="2BBAE0B0"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Disziplinarakten (sofern die Vorkommnisse von erheblicher Bedeutung für die berufliche Laufbahn des oder der Betroffenen sind oder das Leben der eigenen Körperschaft beeinflusst haben)</w:t>
      </w:r>
    </w:p>
    <w:p w14:paraId="3B4A9BC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Prüfungsunterlagen (nicht in Personalakten!)</w:t>
      </w:r>
    </w:p>
    <w:p w14:paraId="3847D57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der Mitarbeitervertretung (Wahl, Rechenschaftsberichte, Zusammenarbeit mit MAV)</w:t>
      </w:r>
    </w:p>
    <w:p w14:paraId="36D5602B"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30 Jahre</w:t>
      </w:r>
    </w:p>
    <w:p w14:paraId="32D729F6"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 xml:space="preserve">Personalakten über Versorgungsleistungen (sofern ein Wiederaufleben der Ansprüche von der letzten Versorgungsleistung an </w:t>
      </w:r>
      <w:r w:rsidRPr="00FF0DAC">
        <w:rPr>
          <w:rFonts w:cs="Arial"/>
          <w:i/>
        </w:rPr>
        <w:t>möglich ist – also vor Renteneintritt</w:t>
      </w:r>
      <w:r w:rsidRPr="00FF0DAC">
        <w:rPr>
          <w:rFonts w:cs="Arial"/>
        </w:rPr>
        <w:t>)</w:t>
      </w:r>
    </w:p>
    <w:p w14:paraId="0371A221"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10 Jahre</w:t>
      </w:r>
    </w:p>
    <w:p w14:paraId="396584B6"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 xml:space="preserve">Personalakten über Versorgungsleistungen (sofern ein Wiederaufleben der Ansprüche von der letzten Versorgungsleistung an </w:t>
      </w:r>
      <w:r w:rsidRPr="00FF0DAC">
        <w:rPr>
          <w:rFonts w:cs="Arial"/>
          <w:i/>
        </w:rPr>
        <w:t>entfällt</w:t>
      </w:r>
      <w:r w:rsidRPr="00FF0DAC">
        <w:rPr>
          <w:rFonts w:cs="Arial"/>
        </w:rPr>
        <w:t>)</w:t>
      </w:r>
    </w:p>
    <w:p w14:paraId="06A100DA"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Reisekostenabrechnung und Erstattungen</w:t>
      </w:r>
    </w:p>
    <w:p w14:paraId="69AA70A7"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5 Jahre</w:t>
      </w:r>
    </w:p>
    <w:p w14:paraId="4AB09F1E"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 xml:space="preserve">Personalakten von Mitarbeitenden in </w:t>
      </w:r>
      <w:proofErr w:type="spellStart"/>
      <w:r w:rsidRPr="00FF0DAC">
        <w:rPr>
          <w:rFonts w:cs="Arial"/>
        </w:rPr>
        <w:t>Sachbearbeiterfunktion</w:t>
      </w:r>
      <w:proofErr w:type="spellEnd"/>
      <w:r w:rsidRPr="00FF0DAC">
        <w:rPr>
          <w:rFonts w:cs="Arial"/>
        </w:rPr>
        <w:t xml:space="preserve"> oder in Hilfstätigkeiten (vom Todesjahr an bzw. nach Fortfall von Versorgungsansprüchen)</w:t>
      </w:r>
    </w:p>
    <w:p w14:paraId="74D523A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Personalbeiakten (Beihilfe, Unterstützungen, Urlaub, Dienstbefreiung, Vertretungen, Krank- und Gesundmeldungen)</w:t>
      </w:r>
    </w:p>
    <w:p w14:paraId="2FC6A5A0"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2 Jahre</w:t>
      </w:r>
    </w:p>
    <w:p w14:paraId="72CCB5A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Arbeitszeitlisten</w:t>
      </w:r>
    </w:p>
    <w:p w14:paraId="3262A3C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Urlaubslisten</w:t>
      </w:r>
    </w:p>
    <w:p w14:paraId="0D322C44" w14:textId="77777777" w:rsidR="003F0766" w:rsidRPr="00FF0DAC" w:rsidRDefault="003F0766" w:rsidP="003F0766">
      <w:pPr>
        <w:jc w:val="both"/>
        <w:rPr>
          <w:rFonts w:cs="Arial"/>
        </w:rPr>
      </w:pPr>
    </w:p>
    <w:p w14:paraId="58D8E2CD" w14:textId="77777777" w:rsidR="003F0766" w:rsidRPr="00FF0DAC" w:rsidRDefault="003F0766" w:rsidP="003F0766">
      <w:pPr>
        <w:jc w:val="both"/>
        <w:rPr>
          <w:rFonts w:cs="Arial"/>
          <w:b/>
        </w:rPr>
      </w:pPr>
      <w:r w:rsidRPr="00FF0DAC">
        <w:rPr>
          <w:rFonts w:cs="Arial"/>
          <w:b/>
        </w:rPr>
        <w:t>Kirchenmitgliedschaft</w:t>
      </w:r>
    </w:p>
    <w:p w14:paraId="1381B1DC"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7191012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Verzeichnis der Kircheneintritte, -austritte und –</w:t>
      </w:r>
      <w:proofErr w:type="spellStart"/>
      <w:r w:rsidRPr="00FF0DAC">
        <w:rPr>
          <w:rFonts w:cs="Arial"/>
        </w:rPr>
        <w:t>übertritte</w:t>
      </w:r>
      <w:proofErr w:type="spellEnd"/>
    </w:p>
    <w:p w14:paraId="62E68398" w14:textId="77777777" w:rsidR="003F0766" w:rsidRPr="00FF0DAC" w:rsidRDefault="003F0766" w:rsidP="003F0766">
      <w:pPr>
        <w:jc w:val="both"/>
        <w:rPr>
          <w:rFonts w:cs="Arial"/>
        </w:rPr>
      </w:pPr>
    </w:p>
    <w:p w14:paraId="4053483E" w14:textId="77777777" w:rsidR="003F0766" w:rsidRPr="00FF0DAC" w:rsidRDefault="003F0766" w:rsidP="003F0766">
      <w:pPr>
        <w:jc w:val="both"/>
        <w:rPr>
          <w:rFonts w:cs="Arial"/>
          <w:b/>
        </w:rPr>
      </w:pPr>
      <w:r w:rsidRPr="00FF0DAC">
        <w:rPr>
          <w:rFonts w:cs="Arial"/>
          <w:b/>
        </w:rPr>
        <w:t>Gottesdienste und Amtshandlungen</w:t>
      </w:r>
    </w:p>
    <w:p w14:paraId="56074D30"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7128FC08"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Regelmäßige und besondere Gottesdienste, Beichte, Abendmahlsfeiern</w:t>
      </w:r>
    </w:p>
    <w:p w14:paraId="4C59B7B1"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Verletzungen des Sonn- und Feiertagschutzes</w:t>
      </w:r>
    </w:p>
    <w:p w14:paraId="28E8D3A6"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 xml:space="preserve">Amtshandlungen </w:t>
      </w:r>
    </w:p>
    <w:p w14:paraId="070C52B0" w14:textId="77777777" w:rsidR="003F0766" w:rsidRPr="00FF0DAC" w:rsidRDefault="003F0766" w:rsidP="003F0766">
      <w:pPr>
        <w:pStyle w:val="Listenabsatz"/>
        <w:numPr>
          <w:ilvl w:val="2"/>
          <w:numId w:val="38"/>
        </w:numPr>
        <w:spacing w:after="0" w:line="240" w:lineRule="auto"/>
        <w:jc w:val="both"/>
        <w:rPr>
          <w:rFonts w:cs="Arial"/>
        </w:rPr>
      </w:pPr>
      <w:r w:rsidRPr="00FF0DAC">
        <w:rPr>
          <w:rFonts w:cs="Arial"/>
        </w:rPr>
        <w:t>Unterlagen für die Eintragung in die Amtshandlungsverzeichnisse (Anmeldungsformulare, Bescheinigungen des Standesamtes) vor 1991 können vernichtet werden; nach 1991 sind sie aufzubewahren.</w:t>
      </w:r>
    </w:p>
    <w:p w14:paraId="7ECCD31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Gestaltung des Religions- und Konfirmandenunterrichts (nur eigene Arbeit)</w:t>
      </w:r>
    </w:p>
    <w:p w14:paraId="12CA4F08"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lastRenderedPageBreak/>
        <w:t>Seelsorge an verschiedenen Personengruppen (soweit das Beichtgeheimnis die Aufbewahrung nicht ausschließt)</w:t>
      </w:r>
    </w:p>
    <w:p w14:paraId="76469230" w14:textId="77777777" w:rsidR="003F0766" w:rsidRPr="00FF0DAC" w:rsidRDefault="003F0766" w:rsidP="003F0766">
      <w:pPr>
        <w:jc w:val="both"/>
        <w:rPr>
          <w:rFonts w:cs="Arial"/>
        </w:rPr>
      </w:pPr>
    </w:p>
    <w:p w14:paraId="0C6322B1" w14:textId="77777777" w:rsidR="003F0766" w:rsidRPr="00FF0DAC" w:rsidRDefault="003F0766" w:rsidP="003F0766">
      <w:pPr>
        <w:jc w:val="both"/>
        <w:rPr>
          <w:rFonts w:cs="Arial"/>
          <w:b/>
        </w:rPr>
      </w:pPr>
      <w:r w:rsidRPr="00FF0DAC">
        <w:rPr>
          <w:rFonts w:cs="Arial"/>
          <w:b/>
        </w:rPr>
        <w:t>Kirchenmusik</w:t>
      </w:r>
    </w:p>
    <w:p w14:paraId="52369F77"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149076CB"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Eigene kirchenmusikalische Veranstaltungen</w:t>
      </w:r>
    </w:p>
    <w:p w14:paraId="052A0611" w14:textId="77777777" w:rsidR="003F0766" w:rsidRPr="00FF0DAC" w:rsidRDefault="003F0766" w:rsidP="003F0766">
      <w:pPr>
        <w:jc w:val="both"/>
        <w:rPr>
          <w:rFonts w:cs="Arial"/>
        </w:rPr>
      </w:pPr>
    </w:p>
    <w:p w14:paraId="3837761F" w14:textId="77777777" w:rsidR="003F0766" w:rsidRPr="00FF0DAC" w:rsidRDefault="003F0766" w:rsidP="003F0766">
      <w:pPr>
        <w:jc w:val="both"/>
        <w:rPr>
          <w:rFonts w:cs="Arial"/>
          <w:b/>
        </w:rPr>
      </w:pPr>
      <w:r w:rsidRPr="00FF0DAC">
        <w:rPr>
          <w:rFonts w:cs="Arial"/>
          <w:b/>
        </w:rPr>
        <w:t>Schule</w:t>
      </w:r>
    </w:p>
    <w:p w14:paraId="42BB42BA"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24FBADA4"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Schulen in eigener Trägerschaft (Organisation, Statistik, Jahresberichte, Schulveranstaltungen, Zweitschriften der Abgangs- und Abschlusszeugnisse)</w:t>
      </w:r>
    </w:p>
    <w:p w14:paraId="66413EC6"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Beziehungen zur Schule</w:t>
      </w:r>
    </w:p>
    <w:p w14:paraId="701215BB" w14:textId="77777777" w:rsidR="003F0766" w:rsidRPr="00FF0DAC" w:rsidRDefault="003F0766" w:rsidP="003F0766">
      <w:pPr>
        <w:jc w:val="both"/>
        <w:rPr>
          <w:rFonts w:cs="Arial"/>
        </w:rPr>
      </w:pPr>
    </w:p>
    <w:p w14:paraId="00D8A50B" w14:textId="77777777" w:rsidR="003F0766" w:rsidRPr="00FF0DAC" w:rsidRDefault="003F0766" w:rsidP="003F0766">
      <w:pPr>
        <w:jc w:val="both"/>
        <w:rPr>
          <w:rFonts w:cs="Arial"/>
          <w:b/>
        </w:rPr>
      </w:pPr>
      <w:r w:rsidRPr="00FF0DAC">
        <w:rPr>
          <w:rFonts w:cs="Arial"/>
          <w:b/>
        </w:rPr>
        <w:t>Bildung und Kultur</w:t>
      </w:r>
    </w:p>
    <w:p w14:paraId="12403F16"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45C0E94A"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Erwachsenenbildung</w:t>
      </w:r>
    </w:p>
    <w:p w14:paraId="14C28700"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Öffentlichkeitsarbeit</w:t>
      </w:r>
    </w:p>
    <w:p w14:paraId="05C1D555"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Gemeindebriefe</w:t>
      </w:r>
    </w:p>
    <w:p w14:paraId="7821D88B"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Kulturelle Aktivitäten</w:t>
      </w:r>
    </w:p>
    <w:p w14:paraId="457D5551"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Ereignisse der eigenen Kirchengeschichte (Jubiläen, Veröffentlichungen)</w:t>
      </w:r>
    </w:p>
    <w:p w14:paraId="743ED1F9" w14:textId="77777777" w:rsidR="003F0766" w:rsidRPr="00FF0DAC" w:rsidRDefault="003F0766" w:rsidP="003F0766">
      <w:pPr>
        <w:jc w:val="both"/>
        <w:rPr>
          <w:rFonts w:cs="Arial"/>
        </w:rPr>
      </w:pPr>
    </w:p>
    <w:p w14:paraId="290A3D96" w14:textId="77777777" w:rsidR="003F0766" w:rsidRPr="00FF0DAC" w:rsidRDefault="003F0766" w:rsidP="003F0766">
      <w:pPr>
        <w:jc w:val="both"/>
        <w:rPr>
          <w:rFonts w:cs="Arial"/>
          <w:b/>
        </w:rPr>
      </w:pPr>
      <w:r w:rsidRPr="00FF0DAC">
        <w:rPr>
          <w:rFonts w:cs="Arial"/>
          <w:b/>
        </w:rPr>
        <w:t>Statistik</w:t>
      </w:r>
    </w:p>
    <w:p w14:paraId="08E96E59"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7E3B116A"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Berichte aus dem eigenen Amts- und Aufgabenbereich</w:t>
      </w:r>
    </w:p>
    <w:p w14:paraId="3B17FB7B" w14:textId="77777777" w:rsidR="003F0766" w:rsidRPr="00FF0DAC" w:rsidRDefault="003F0766" w:rsidP="003F0766">
      <w:pPr>
        <w:jc w:val="both"/>
        <w:rPr>
          <w:rFonts w:cs="Arial"/>
        </w:rPr>
      </w:pPr>
    </w:p>
    <w:p w14:paraId="22176DC9" w14:textId="77777777" w:rsidR="003F0766" w:rsidRPr="00FF0DAC" w:rsidRDefault="003F0766" w:rsidP="003F0766">
      <w:pPr>
        <w:jc w:val="both"/>
        <w:rPr>
          <w:rFonts w:cs="Arial"/>
          <w:b/>
        </w:rPr>
      </w:pPr>
      <w:r w:rsidRPr="00FF0DAC">
        <w:rPr>
          <w:rFonts w:cs="Arial"/>
          <w:b/>
        </w:rPr>
        <w:t>Gebäude, Kunst- und Denkmalpflege</w:t>
      </w:r>
    </w:p>
    <w:p w14:paraId="77DB7229"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38B78D4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Errichtung und bauliche Unterhaltung (eigener) kirchlicher Gebäude</w:t>
      </w:r>
    </w:p>
    <w:p w14:paraId="74B486EE"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Nutzung der eigenen kirchlichen Gebäude</w:t>
      </w:r>
    </w:p>
    <w:p w14:paraId="4CA94EFF"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 xml:space="preserve">Ausstattungsgegenstände (Taufe, Kanzel, Altar, Orgel, Uhr, Kunstwerke, Denkmäler, Vasa </w:t>
      </w:r>
      <w:proofErr w:type="spellStart"/>
      <w:r w:rsidRPr="00FF0DAC">
        <w:rPr>
          <w:rFonts w:cs="Arial"/>
        </w:rPr>
        <w:t>Sacra</w:t>
      </w:r>
      <w:proofErr w:type="spellEnd"/>
      <w:r w:rsidRPr="00FF0DAC">
        <w:rPr>
          <w:rFonts w:cs="Arial"/>
        </w:rPr>
        <w:t>)</w:t>
      </w:r>
    </w:p>
    <w:p w14:paraId="16487444" w14:textId="61A6F75B" w:rsidR="003F0766" w:rsidRPr="00FF0DAC" w:rsidRDefault="009E5FA0" w:rsidP="003F0766">
      <w:pPr>
        <w:pStyle w:val="Listenabsatz"/>
        <w:numPr>
          <w:ilvl w:val="0"/>
          <w:numId w:val="38"/>
        </w:numPr>
        <w:spacing w:after="0" w:line="240" w:lineRule="auto"/>
        <w:jc w:val="both"/>
        <w:rPr>
          <w:rFonts w:cs="Arial"/>
        </w:rPr>
      </w:pPr>
      <w:r>
        <w:rPr>
          <w:rFonts w:cs="Arial"/>
        </w:rPr>
        <w:t>3</w:t>
      </w:r>
      <w:r w:rsidR="003F0766" w:rsidRPr="00FF0DAC">
        <w:rPr>
          <w:rFonts w:cs="Arial"/>
        </w:rPr>
        <w:t>0 Jahre</w:t>
      </w:r>
    </w:p>
    <w:p w14:paraId="74A11031"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Pacht- und Mietverhältnisse (nach Beendigung der Mietverhältnisse)</w:t>
      </w:r>
    </w:p>
    <w:p w14:paraId="61F7308B" w14:textId="77777777" w:rsidR="003F0766" w:rsidRPr="00FF0DAC" w:rsidRDefault="003F0766" w:rsidP="003F0766">
      <w:pPr>
        <w:jc w:val="both"/>
        <w:rPr>
          <w:rFonts w:cs="Arial"/>
        </w:rPr>
      </w:pPr>
    </w:p>
    <w:p w14:paraId="630E315D" w14:textId="77777777" w:rsidR="003F0766" w:rsidRPr="00FF0DAC" w:rsidRDefault="003F0766" w:rsidP="003F0766">
      <w:pPr>
        <w:jc w:val="both"/>
        <w:rPr>
          <w:rFonts w:cs="Arial"/>
          <w:b/>
        </w:rPr>
      </w:pPr>
      <w:r w:rsidRPr="00FF0DAC">
        <w:rPr>
          <w:rFonts w:cs="Arial"/>
          <w:b/>
        </w:rPr>
        <w:t>Finanz-, Steuer- und Vermögensverwaltung (Zuständigkeit der Kirchenpflege)</w:t>
      </w:r>
    </w:p>
    <w:p w14:paraId="3288BA11"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Dauerhaft</w:t>
      </w:r>
    </w:p>
    <w:p w14:paraId="4256ECA0" w14:textId="77777777" w:rsidR="003F0766" w:rsidRPr="00FF0DAC" w:rsidRDefault="003F0766" w:rsidP="003F0766">
      <w:pPr>
        <w:pStyle w:val="Listenabsatz"/>
        <w:numPr>
          <w:ilvl w:val="1"/>
          <w:numId w:val="38"/>
        </w:numPr>
        <w:spacing w:after="0" w:line="240" w:lineRule="auto"/>
        <w:jc w:val="both"/>
        <w:rPr>
          <w:rFonts w:cs="Arial"/>
          <w:u w:val="single"/>
        </w:rPr>
      </w:pPr>
      <w:r w:rsidRPr="00FF0DAC">
        <w:rPr>
          <w:rFonts w:cs="Arial"/>
        </w:rPr>
        <w:t xml:space="preserve">Haushaltspläne, außerordentliche Haushaltspläne </w:t>
      </w:r>
      <w:r w:rsidRPr="00FF0DAC">
        <w:rPr>
          <w:rFonts w:cs="Arial"/>
          <w:u w:val="single"/>
        </w:rPr>
        <w:t>des eigenen Kirchenbezirks bzw. der eigenen Kirchengemeinde</w:t>
      </w:r>
    </w:p>
    <w:p w14:paraId="1BC096C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Rechnungsbelege zu den außerordentlichen Haushaltsplänen</w:t>
      </w:r>
    </w:p>
    <w:p w14:paraId="46655CA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Rechnungsführung, Rechnungslegung, Prüfung der Rechnung</w:t>
      </w:r>
    </w:p>
    <w:p w14:paraId="399F94DC"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Vermögensnachweise, Bilanzen</w:t>
      </w:r>
    </w:p>
    <w:p w14:paraId="3A1E85E0"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Errichtung und Verwaltung (eigener) Stiftungen, Stiftungsvermögen</w:t>
      </w:r>
    </w:p>
    <w:p w14:paraId="4002C6EE"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Sondervermögen, Schenkungen, Legate</w:t>
      </w:r>
    </w:p>
    <w:p w14:paraId="45966929"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Kollekten- und Kirchgeldaufkommen (nur summarische Übersichten)</w:t>
      </w:r>
    </w:p>
    <w:p w14:paraId="364D156C" w14:textId="21A042CD" w:rsidR="003F0766" w:rsidRDefault="003F0766" w:rsidP="003F0766">
      <w:pPr>
        <w:pStyle w:val="Listenabsatz"/>
        <w:numPr>
          <w:ilvl w:val="1"/>
          <w:numId w:val="38"/>
        </w:numPr>
        <w:spacing w:after="0" w:line="240" w:lineRule="auto"/>
        <w:jc w:val="both"/>
        <w:rPr>
          <w:rFonts w:cs="Arial"/>
        </w:rPr>
      </w:pPr>
      <w:r w:rsidRPr="00FF0DAC">
        <w:rPr>
          <w:rFonts w:cs="Arial"/>
        </w:rPr>
        <w:lastRenderedPageBreak/>
        <w:t>Berechtigung und Verpflichtungen Dritter zu besonderen Leistungen (Baulast, Ablösungen)</w:t>
      </w:r>
    </w:p>
    <w:p w14:paraId="1C2F6D4B" w14:textId="77777777" w:rsidR="005929ED" w:rsidRPr="00FF0DAC" w:rsidRDefault="005929ED" w:rsidP="003F0766">
      <w:pPr>
        <w:pStyle w:val="Listenabsatz"/>
        <w:numPr>
          <w:ilvl w:val="1"/>
          <w:numId w:val="38"/>
        </w:numPr>
        <w:spacing w:after="0" w:line="240" w:lineRule="auto"/>
        <w:jc w:val="both"/>
        <w:rPr>
          <w:rFonts w:cs="Arial"/>
        </w:rPr>
      </w:pPr>
    </w:p>
    <w:p w14:paraId="463BADAB"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30 Jahre</w:t>
      </w:r>
    </w:p>
    <w:p w14:paraId="7A82665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Hypotheken und Unterlagen nach Abtragung der Schuld und Löschung im Grundbuch</w:t>
      </w:r>
    </w:p>
    <w:p w14:paraId="779DF78A"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Versicherung und über die Abwicklung einzelner Versicherungsleistungen</w:t>
      </w:r>
    </w:p>
    <w:p w14:paraId="022E6FC8"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Prozessakten, sofern keine dauernden Rechtsverhältnisse oder historische Belange berührt sind</w:t>
      </w:r>
    </w:p>
    <w:p w14:paraId="4A830EDE"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10 Jahre</w:t>
      </w:r>
    </w:p>
    <w:p w14:paraId="20DE31DF"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die Aufstellung der Haushaltspläne</w:t>
      </w:r>
    </w:p>
    <w:p w14:paraId="072BEC9D"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Jahresrechnungen / Rechnungen der Kirchenpflege</w:t>
      </w:r>
    </w:p>
    <w:p w14:paraId="3B210A25"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Verwendungsnachweise für öffentliche Zuschüsse (sofern keine anderen Fristen vorgeschrieben sind)</w:t>
      </w:r>
    </w:p>
    <w:p w14:paraId="7D8EEF60"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die Erhebung von Kirchgeld und Kirchensteuern</w:t>
      </w:r>
    </w:p>
    <w:p w14:paraId="6F823015"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Kirchensteuerkappungen</w:t>
      </w:r>
    </w:p>
    <w:p w14:paraId="707B795B"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Versicherungsfälle bei Sachschäden (nach Abschluss Regulierung)</w:t>
      </w:r>
    </w:p>
    <w:p w14:paraId="4BEB8F45" w14:textId="573FB64A" w:rsidR="003F0766" w:rsidRPr="00FF0DAC" w:rsidRDefault="003F0766" w:rsidP="003F0766">
      <w:pPr>
        <w:pStyle w:val="Listenabsatz"/>
        <w:numPr>
          <w:ilvl w:val="1"/>
          <w:numId w:val="38"/>
        </w:numPr>
        <w:spacing w:after="0" w:line="240" w:lineRule="auto"/>
        <w:jc w:val="both"/>
        <w:rPr>
          <w:rFonts w:cs="Arial"/>
        </w:rPr>
      </w:pPr>
      <w:r w:rsidRPr="00FF0DAC">
        <w:rPr>
          <w:rFonts w:cs="Arial"/>
        </w:rPr>
        <w:t>Belege und Bücher zur Rechnungsführung einschl. Zeitbücher</w:t>
      </w:r>
    </w:p>
    <w:p w14:paraId="26E4239C"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Beilagen zu den Kirchenpflegrechnungen (Vernichtung 10 Jahre nach Rechnungsprüfung)</w:t>
      </w:r>
    </w:p>
    <w:p w14:paraId="1936CD79" w14:textId="77777777" w:rsidR="003F0766" w:rsidRPr="00FF0DAC" w:rsidRDefault="003F0766" w:rsidP="003F0766">
      <w:pPr>
        <w:pStyle w:val="Listenabsatz"/>
        <w:numPr>
          <w:ilvl w:val="0"/>
          <w:numId w:val="38"/>
        </w:numPr>
        <w:spacing w:after="0" w:line="240" w:lineRule="auto"/>
        <w:jc w:val="both"/>
        <w:rPr>
          <w:rFonts w:cs="Arial"/>
        </w:rPr>
      </w:pPr>
      <w:r w:rsidRPr="00FF0DAC">
        <w:rPr>
          <w:rFonts w:cs="Arial"/>
        </w:rPr>
        <w:t>2 Jahre</w:t>
      </w:r>
    </w:p>
    <w:p w14:paraId="66755E77"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Kontoauszüge (nach abschließender Entlastung)</w:t>
      </w:r>
    </w:p>
    <w:p w14:paraId="3FB5EE52" w14:textId="77777777" w:rsidR="003F0766" w:rsidRPr="00FF0DAC" w:rsidRDefault="003F0766" w:rsidP="003F0766">
      <w:pPr>
        <w:pStyle w:val="Listenabsatz"/>
        <w:numPr>
          <w:ilvl w:val="1"/>
          <w:numId w:val="38"/>
        </w:numPr>
        <w:spacing w:after="0" w:line="240" w:lineRule="auto"/>
        <w:jc w:val="both"/>
        <w:rPr>
          <w:rFonts w:cs="Arial"/>
        </w:rPr>
      </w:pPr>
      <w:r w:rsidRPr="00FF0DAC">
        <w:rPr>
          <w:rFonts w:cs="Arial"/>
        </w:rPr>
        <w:t>Unterlagen über Haus- und Straßensammlungen</w:t>
      </w:r>
    </w:p>
    <w:p w14:paraId="418499A1" w14:textId="77777777" w:rsidR="003F0766" w:rsidRPr="00FF0DAC" w:rsidRDefault="003F0766" w:rsidP="003F0766">
      <w:pPr>
        <w:pStyle w:val="Listenabsatz"/>
        <w:spacing w:after="0" w:line="240" w:lineRule="auto"/>
        <w:ind w:left="1440"/>
        <w:jc w:val="both"/>
        <w:rPr>
          <w:rFonts w:cs="Arial"/>
        </w:rPr>
      </w:pPr>
    </w:p>
    <w:p w14:paraId="1706872A" w14:textId="77777777" w:rsidR="003F0766" w:rsidRPr="00FF0DAC" w:rsidRDefault="003F0766" w:rsidP="003F0766">
      <w:pPr>
        <w:spacing w:after="0" w:line="240" w:lineRule="auto"/>
        <w:jc w:val="both"/>
        <w:rPr>
          <w:rFonts w:cs="Arial"/>
          <w:b/>
        </w:rPr>
      </w:pPr>
    </w:p>
    <w:p w14:paraId="707C0948" w14:textId="77777777" w:rsidR="003F0766" w:rsidRPr="00FF0DAC" w:rsidRDefault="003F0766" w:rsidP="003F0766">
      <w:pPr>
        <w:spacing w:after="0" w:line="240" w:lineRule="auto"/>
        <w:jc w:val="both"/>
        <w:rPr>
          <w:rFonts w:cs="Arial"/>
          <w:b/>
        </w:rPr>
      </w:pPr>
    </w:p>
    <w:p w14:paraId="617D03BE" w14:textId="77777777" w:rsidR="003F0766" w:rsidRPr="00FF0DAC" w:rsidRDefault="003F0766" w:rsidP="003F0766">
      <w:pPr>
        <w:pStyle w:val="Listenabsatz"/>
        <w:numPr>
          <w:ilvl w:val="0"/>
          <w:numId w:val="50"/>
        </w:numPr>
        <w:spacing w:after="0" w:line="240" w:lineRule="auto"/>
        <w:jc w:val="both"/>
        <w:rPr>
          <w:rFonts w:cs="Arial"/>
          <w:b/>
        </w:rPr>
      </w:pPr>
      <w:r w:rsidRPr="00FF0DAC">
        <w:rPr>
          <w:rFonts w:cs="Arial"/>
          <w:b/>
        </w:rPr>
        <w:t>Was kann in jedem Fall vernichtet werden?</w:t>
      </w:r>
    </w:p>
    <w:p w14:paraId="14058224" w14:textId="77777777" w:rsidR="003F0766" w:rsidRPr="00FF0DAC" w:rsidRDefault="003F0766" w:rsidP="003F0766">
      <w:pPr>
        <w:jc w:val="both"/>
        <w:rPr>
          <w:rFonts w:cs="Arial"/>
        </w:rPr>
      </w:pPr>
    </w:p>
    <w:p w14:paraId="325E6B0E" w14:textId="77777777" w:rsidR="003F0766" w:rsidRPr="00FF0DAC" w:rsidRDefault="003F0766" w:rsidP="003F0766">
      <w:pPr>
        <w:jc w:val="both"/>
        <w:rPr>
          <w:rFonts w:cs="Arial"/>
          <w:u w:val="single"/>
        </w:rPr>
      </w:pPr>
      <w:r w:rsidRPr="00FF0DAC">
        <w:rPr>
          <w:rFonts w:cs="Arial"/>
          <w:u w:val="single"/>
        </w:rPr>
        <w:t>Amtsblätter und Rundschreiben</w:t>
      </w:r>
    </w:p>
    <w:p w14:paraId="6B3DD8F7" w14:textId="77777777" w:rsidR="003F0766" w:rsidRPr="00FF0DAC" w:rsidRDefault="003F0766" w:rsidP="003F0766">
      <w:pPr>
        <w:jc w:val="both"/>
        <w:rPr>
          <w:rFonts w:cs="Arial"/>
        </w:rPr>
      </w:pPr>
      <w:r w:rsidRPr="00FF0DAC">
        <w:rPr>
          <w:rFonts w:cs="Arial"/>
        </w:rPr>
        <w:t xml:space="preserve">Amtsblätter: Die Amtsblätter der Evangelischen Landeskirche in Württemberg brauchen zukünftig weder gebunden noch dauerhaft aufbewahrt werden. Ihre Aufbewahrung vor Ort richtet sich ausschließlich nach pragmatischen Geschichtspunkten. Die Entscheidung obliegt der Stelleninhaberin bzw. dem Stelleninhaber. Die </w:t>
      </w:r>
      <w:r w:rsidR="00852BE6" w:rsidRPr="00FF0DAC">
        <w:rPr>
          <w:rFonts w:cs="Arial"/>
        </w:rPr>
        <w:t>Amtsblätter</w:t>
      </w:r>
      <w:r w:rsidRPr="00FF0DAC">
        <w:rPr>
          <w:rFonts w:cs="Arial"/>
        </w:rPr>
        <w:t xml:space="preserve"> ab 2003 können im Dienstleistungsportal der Landeskirche unter </w:t>
      </w:r>
      <w:hyperlink r:id="rId10" w:history="1">
        <w:r w:rsidRPr="00FF0DAC">
          <w:rPr>
            <w:rStyle w:val="Hyperlink"/>
            <w:rFonts w:cs="Arial"/>
          </w:rPr>
          <w:t>http://www.service.elk-wue.de/amtsblatt</w:t>
        </w:r>
      </w:hyperlink>
      <w:r w:rsidRPr="00FF0DAC">
        <w:rPr>
          <w:rFonts w:cs="Arial"/>
        </w:rPr>
        <w:t xml:space="preserve"> recherchiert und eingesehen werden.</w:t>
      </w:r>
    </w:p>
    <w:p w14:paraId="3EB9769D" w14:textId="77777777" w:rsidR="003F0766" w:rsidRPr="00FF0DAC" w:rsidRDefault="003F0766" w:rsidP="003F0766">
      <w:pPr>
        <w:jc w:val="both"/>
        <w:rPr>
          <w:rFonts w:cs="Arial"/>
        </w:rPr>
      </w:pPr>
      <w:r w:rsidRPr="00FF0DAC">
        <w:rPr>
          <w:rFonts w:cs="Arial"/>
        </w:rPr>
        <w:t xml:space="preserve">Rundschreiben: Rundschreiben des Evang. Oberkirchenrats </w:t>
      </w:r>
      <w:r w:rsidRPr="00FF0DAC">
        <w:rPr>
          <w:rFonts w:cs="Arial"/>
          <w:u w:val="single"/>
        </w:rPr>
        <w:t>sollen nicht</w:t>
      </w:r>
      <w:r w:rsidRPr="00FF0DAC">
        <w:rPr>
          <w:rFonts w:cs="Arial"/>
        </w:rPr>
        <w:t xml:space="preserve"> zu den Akten genommen werden, da sie über eine Datenbank (Internetadresse: </w:t>
      </w:r>
      <w:hyperlink r:id="rId11" w:history="1">
        <w:r w:rsidRPr="00FF0DAC">
          <w:rPr>
            <w:rStyle w:val="Hyperlink"/>
            <w:rFonts w:cs="Arial"/>
          </w:rPr>
          <w:t>http://www.service.elk-wue.de/rundschreiben</w:t>
        </w:r>
      </w:hyperlink>
      <w:r w:rsidRPr="00FF0DAC">
        <w:rPr>
          <w:rFonts w:cs="Arial"/>
        </w:rPr>
        <w:t xml:space="preserve">) recherchierbar sind. </w:t>
      </w:r>
      <w:r w:rsidRPr="00FF0DAC">
        <w:rPr>
          <w:rFonts w:cs="Arial"/>
          <w:u w:val="single"/>
        </w:rPr>
        <w:t>Empfohlen wird</w:t>
      </w:r>
      <w:r w:rsidRPr="00FF0DAC">
        <w:rPr>
          <w:rFonts w:cs="Arial"/>
        </w:rPr>
        <w:t>, Rundschreiben, die zur Erledigung dienstlicher Belange häufig benötigt werden, in geeigneten Handapparaten zu führen.</w:t>
      </w:r>
    </w:p>
    <w:p w14:paraId="6C083AAD" w14:textId="77777777" w:rsidR="003F0766" w:rsidRPr="00FF0DAC" w:rsidRDefault="003F0766" w:rsidP="003F0766">
      <w:pPr>
        <w:jc w:val="both"/>
        <w:rPr>
          <w:rFonts w:cs="Arial"/>
          <w:u w:val="single"/>
        </w:rPr>
      </w:pPr>
    </w:p>
    <w:p w14:paraId="12BFF04B" w14:textId="77777777" w:rsidR="003F0766" w:rsidRPr="00FF0DAC" w:rsidRDefault="003F0766" w:rsidP="003F0766">
      <w:pPr>
        <w:jc w:val="both"/>
        <w:rPr>
          <w:rFonts w:cs="Arial"/>
          <w:u w:val="single"/>
        </w:rPr>
      </w:pPr>
      <w:r w:rsidRPr="00FF0DAC">
        <w:rPr>
          <w:rFonts w:cs="Arial"/>
          <w:u w:val="single"/>
        </w:rPr>
        <w:t>Zeitungen und Zeitschriften</w:t>
      </w:r>
    </w:p>
    <w:p w14:paraId="68722105" w14:textId="77777777" w:rsidR="003F0766" w:rsidRPr="00FF0DAC" w:rsidRDefault="003F0766" w:rsidP="003F0766">
      <w:pPr>
        <w:jc w:val="both"/>
        <w:rPr>
          <w:rFonts w:cs="Arial"/>
        </w:rPr>
      </w:pPr>
      <w:r w:rsidRPr="00FF0DAC">
        <w:rPr>
          <w:rFonts w:cs="Arial"/>
        </w:rPr>
        <w:t>Sind – mit Ausnahme des Gemeindeb</w:t>
      </w:r>
      <w:r w:rsidR="00852BE6" w:rsidRPr="00FF0DAC">
        <w:rPr>
          <w:rFonts w:cs="Arial"/>
        </w:rPr>
        <w:t>riefs</w:t>
      </w:r>
      <w:r w:rsidRPr="00FF0DAC">
        <w:rPr>
          <w:rFonts w:cs="Arial"/>
        </w:rPr>
        <w:t xml:space="preserve"> der eigenen Gemeinde – grundsätzlich nicht aufbewahrungswürdig. Dazu zählen auch „Für Arbeit und Besinnung“, „beraten und beschlossen“, sonstige Zeitschriften bzw. die Protokolle der Landessynode. Wie lange sie </w:t>
      </w:r>
      <w:r w:rsidRPr="00FF0DAC">
        <w:rPr>
          <w:rFonts w:cs="Arial"/>
        </w:rPr>
        <w:lastRenderedPageBreak/>
        <w:t xml:space="preserve">vorrätig gehalten werden sollen, richtet sich ausschließlich nach pragmatischen Gesichtspunkten. Die Entscheidung obliegt der Stelleninhaberin/ dem Stelleninhaber. </w:t>
      </w:r>
    </w:p>
    <w:p w14:paraId="7D69AA5C" w14:textId="77777777" w:rsidR="003F0766" w:rsidRPr="00FF0DAC" w:rsidRDefault="003F0766" w:rsidP="003F0766">
      <w:pPr>
        <w:jc w:val="both"/>
        <w:rPr>
          <w:rFonts w:cs="Arial"/>
          <w:u w:val="single"/>
        </w:rPr>
      </w:pPr>
    </w:p>
    <w:p w14:paraId="59B97AB0" w14:textId="77777777" w:rsidR="003F0766" w:rsidRPr="00FF0DAC" w:rsidRDefault="003F0766" w:rsidP="003F0766">
      <w:pPr>
        <w:jc w:val="both"/>
        <w:rPr>
          <w:rFonts w:cs="Arial"/>
          <w:u w:val="single"/>
        </w:rPr>
      </w:pPr>
      <w:r w:rsidRPr="00FF0DAC">
        <w:rPr>
          <w:rFonts w:cs="Arial"/>
          <w:u w:val="single"/>
        </w:rPr>
        <w:t>Drucksachen und Kleinschrifttum</w:t>
      </w:r>
    </w:p>
    <w:p w14:paraId="3BA4A81A" w14:textId="77777777" w:rsidR="003F0766" w:rsidRPr="00FF0DAC" w:rsidRDefault="003F0766" w:rsidP="003F0766">
      <w:pPr>
        <w:jc w:val="both"/>
        <w:rPr>
          <w:rFonts w:cs="Arial"/>
        </w:rPr>
      </w:pPr>
      <w:r w:rsidRPr="00FF0DAC">
        <w:rPr>
          <w:rFonts w:cs="Arial"/>
        </w:rPr>
        <w:t xml:space="preserve">Drucksachen und Kleinschrifttum sind nur dann von dienstlicher Relevanz, wenn sie im organischen Sachzusammenhang mit der Tätigkeit des betreffenden Amtes stehen. Sie sind außerhalb der Registratur in geeigneter Form </w:t>
      </w:r>
      <w:proofErr w:type="gramStart"/>
      <w:r w:rsidRPr="00FF0DAC">
        <w:rPr>
          <w:rFonts w:cs="Arial"/>
        </w:rPr>
        <w:t>solange</w:t>
      </w:r>
      <w:proofErr w:type="gramEnd"/>
      <w:r w:rsidRPr="00FF0DAC">
        <w:rPr>
          <w:rFonts w:cs="Arial"/>
        </w:rPr>
        <w:t xml:space="preserve"> aufzubewahren, wie dies von der jeweiligen Amtsinhaberin / dem jeweiligen Amtsinhaber als zweckmäßig erachtet wird.</w:t>
      </w:r>
    </w:p>
    <w:p w14:paraId="36D1B215" w14:textId="77777777" w:rsidR="003F0766" w:rsidRPr="00FF0DAC" w:rsidRDefault="003F0766" w:rsidP="003F0766">
      <w:pPr>
        <w:jc w:val="both"/>
        <w:rPr>
          <w:rFonts w:cs="Arial"/>
        </w:rPr>
      </w:pPr>
      <w:r w:rsidRPr="00FF0DAC">
        <w:rPr>
          <w:rFonts w:cs="Arial"/>
        </w:rPr>
        <w:t>Grundsätzlich sind Druckerzeugnisse jüngeren Erscheinungsdatums, soweit sie nicht von der eigenen Kirchengemeinde oder dem eigenen Kirchenbezirk herausgegeben wurden (z.B. Festschriften), nicht dauerhaft aufbewahrungswürdig.</w:t>
      </w:r>
    </w:p>
    <w:p w14:paraId="25A991CB" w14:textId="77777777" w:rsidR="003F0766" w:rsidRPr="00FF0DAC" w:rsidRDefault="003F0766" w:rsidP="003F0766">
      <w:pPr>
        <w:jc w:val="both"/>
        <w:rPr>
          <w:rFonts w:cs="Arial"/>
        </w:rPr>
      </w:pPr>
    </w:p>
    <w:p w14:paraId="754ADB21" w14:textId="77777777" w:rsidR="003F0766" w:rsidRPr="00FF0DAC" w:rsidRDefault="003F0766" w:rsidP="003F0766">
      <w:pPr>
        <w:jc w:val="both"/>
        <w:rPr>
          <w:rFonts w:cs="Arial"/>
          <w:b/>
        </w:rPr>
      </w:pPr>
      <w:r w:rsidRPr="00FF0DAC">
        <w:rPr>
          <w:rFonts w:cs="Arial"/>
          <w:b/>
        </w:rPr>
        <w:t>C. Historische Pfarrbibliothek</w:t>
      </w:r>
    </w:p>
    <w:p w14:paraId="53C57EA4" w14:textId="424125F3" w:rsidR="003F0766" w:rsidRPr="007E0F58" w:rsidRDefault="003F0766" w:rsidP="003F0766">
      <w:pPr>
        <w:jc w:val="both"/>
        <w:rPr>
          <w:rFonts w:cs="Arial"/>
        </w:rPr>
      </w:pPr>
      <w:r w:rsidRPr="00FF0DAC">
        <w:rPr>
          <w:rFonts w:cs="Arial"/>
        </w:rPr>
        <w:t xml:space="preserve">Bücher und Zeitschriften (älter als 1800) der Historischen Pfarrbibliothek dürfen weder veräußert noch vernichtet werden. Sollten Sie Beratungsbedarf haben oder die Bibliothek abgeben wollen, wenden Sie sich bitte an die Landeskirchliche Zentralbibliothek. </w:t>
      </w:r>
      <w:r w:rsidR="00B45DB0" w:rsidRPr="00FF0DAC">
        <w:rPr>
          <w:rFonts w:cs="Arial"/>
        </w:rPr>
        <w:t xml:space="preserve">Eine </w:t>
      </w:r>
      <w:r w:rsidRPr="00FF0DAC">
        <w:rPr>
          <w:rFonts w:cs="Arial"/>
        </w:rPr>
        <w:t xml:space="preserve">Abgabe (auch unter Eigentumsvorbehalt) an kommunale oder sonstige Archive bzw. Bibliotheken </w:t>
      </w:r>
      <w:r w:rsidR="00B45DB0" w:rsidRPr="00FF0DAC">
        <w:rPr>
          <w:rFonts w:cs="Arial"/>
        </w:rPr>
        <w:t xml:space="preserve">ist </w:t>
      </w:r>
      <w:r w:rsidRPr="00FF0DAC">
        <w:rPr>
          <w:rFonts w:cs="Arial"/>
        </w:rPr>
        <w:t>nicht statthaft.</w:t>
      </w:r>
      <w:r w:rsidRPr="007E0F58">
        <w:rPr>
          <w:rFonts w:cs="Arial"/>
        </w:rPr>
        <w:t xml:space="preserve"> </w:t>
      </w:r>
    </w:p>
    <w:p w14:paraId="5A984AF1" w14:textId="77777777" w:rsidR="00720F7D" w:rsidRDefault="00720F7D" w:rsidP="00720F7D">
      <w:pPr>
        <w:shd w:val="clear" w:color="auto" w:fill="FFFFFF"/>
        <w:spacing w:after="0" w:line="240" w:lineRule="auto"/>
        <w:rPr>
          <w:rFonts w:eastAsia="Times New Roman" w:cs="Arial"/>
          <w:b/>
          <w:sz w:val="24"/>
          <w:szCs w:val="24"/>
          <w:lang w:eastAsia="de-DE"/>
        </w:rPr>
      </w:pPr>
    </w:p>
    <w:p w14:paraId="1F7FF8F0" w14:textId="77777777" w:rsidR="008079DE" w:rsidRPr="006B5844" w:rsidRDefault="008079DE" w:rsidP="00720F7D">
      <w:pPr>
        <w:shd w:val="clear" w:color="auto" w:fill="FFFFFF"/>
        <w:spacing w:after="0" w:line="240" w:lineRule="auto"/>
        <w:rPr>
          <w:rFonts w:eastAsia="Times New Roman" w:cs="Arial"/>
          <w:b/>
          <w:sz w:val="24"/>
          <w:szCs w:val="24"/>
          <w:lang w:eastAsia="de-DE"/>
        </w:rPr>
      </w:pPr>
    </w:p>
    <w:sectPr w:rsidR="008079DE" w:rsidRPr="006B5844">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A143" w14:textId="77777777" w:rsidR="00C11D97" w:rsidRDefault="00C11D97" w:rsidP="00BB3ACB">
      <w:pPr>
        <w:spacing w:after="0" w:line="240" w:lineRule="auto"/>
      </w:pPr>
      <w:r>
        <w:separator/>
      </w:r>
    </w:p>
  </w:endnote>
  <w:endnote w:type="continuationSeparator" w:id="0">
    <w:p w14:paraId="2B2EC71A" w14:textId="77777777" w:rsidR="00C11D97" w:rsidRDefault="00C11D97" w:rsidP="00B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22D9" w14:textId="77777777" w:rsidR="00C11D97" w:rsidRDefault="00C11D97" w:rsidP="00BB3ACB">
      <w:pPr>
        <w:spacing w:after="0" w:line="240" w:lineRule="auto"/>
      </w:pPr>
      <w:r>
        <w:separator/>
      </w:r>
    </w:p>
  </w:footnote>
  <w:footnote w:type="continuationSeparator" w:id="0">
    <w:p w14:paraId="6C293F79" w14:textId="77777777" w:rsidR="00C11D97" w:rsidRDefault="00C11D97" w:rsidP="00BB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703323"/>
      <w:docPartObj>
        <w:docPartGallery w:val="Page Numbers (Top of Page)"/>
        <w:docPartUnique/>
      </w:docPartObj>
    </w:sdtPr>
    <w:sdtEndPr/>
    <w:sdtContent>
      <w:p w14:paraId="5FC8618E" w14:textId="2064827E" w:rsidR="009E5FA0" w:rsidRDefault="009E5FA0">
        <w:pPr>
          <w:pStyle w:val="Kopfzeile"/>
          <w:jc w:val="right"/>
        </w:pPr>
        <w:r w:rsidRPr="00BB3ACB">
          <w:rPr>
            <w:sz w:val="20"/>
            <w:szCs w:val="20"/>
          </w:rPr>
          <w:fldChar w:fldCharType="begin"/>
        </w:r>
        <w:r w:rsidRPr="00BB3ACB">
          <w:rPr>
            <w:sz w:val="20"/>
            <w:szCs w:val="20"/>
          </w:rPr>
          <w:instrText>PAGE   \* MERGEFORMAT</w:instrText>
        </w:r>
        <w:r w:rsidRPr="00BB3ACB">
          <w:rPr>
            <w:sz w:val="20"/>
            <w:szCs w:val="20"/>
          </w:rPr>
          <w:fldChar w:fldCharType="separate"/>
        </w:r>
        <w:r>
          <w:rPr>
            <w:noProof/>
            <w:sz w:val="20"/>
            <w:szCs w:val="20"/>
          </w:rPr>
          <w:t>26</w:t>
        </w:r>
        <w:r w:rsidRPr="00BB3ACB">
          <w:rPr>
            <w:sz w:val="20"/>
            <w:szCs w:val="20"/>
          </w:rPr>
          <w:fldChar w:fldCharType="end"/>
        </w:r>
      </w:p>
    </w:sdtContent>
  </w:sdt>
  <w:p w14:paraId="25538098" w14:textId="77777777" w:rsidR="009E5FA0" w:rsidRDefault="009E5FA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1B3"/>
    <w:multiLevelType w:val="multilevel"/>
    <w:tmpl w:val="B87A9E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0116BD"/>
    <w:multiLevelType w:val="hybridMultilevel"/>
    <w:tmpl w:val="401E29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5359FE"/>
    <w:multiLevelType w:val="hybridMultilevel"/>
    <w:tmpl w:val="216ED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C45D80"/>
    <w:multiLevelType w:val="hybridMultilevel"/>
    <w:tmpl w:val="A2FE655A"/>
    <w:lvl w:ilvl="0" w:tplc="1A48934C">
      <w:start w:val="1"/>
      <w:numFmt w:val="bullet"/>
      <w:lvlText w:val="-"/>
      <w:lvlJc w:val="left"/>
      <w:pPr>
        <w:ind w:left="72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463FE5"/>
    <w:multiLevelType w:val="hybridMultilevel"/>
    <w:tmpl w:val="CB22640E"/>
    <w:lvl w:ilvl="0" w:tplc="1A48934C">
      <w:start w:val="1"/>
      <w:numFmt w:val="bullet"/>
      <w:lvlText w:val="-"/>
      <w:lvlJc w:val="left"/>
      <w:pPr>
        <w:ind w:left="72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691A0C"/>
    <w:multiLevelType w:val="hybridMultilevel"/>
    <w:tmpl w:val="12FE07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B36B0E"/>
    <w:multiLevelType w:val="hybridMultilevel"/>
    <w:tmpl w:val="BA7CB4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B659C7"/>
    <w:multiLevelType w:val="hybridMultilevel"/>
    <w:tmpl w:val="4B148C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29A4A5E"/>
    <w:multiLevelType w:val="hybridMultilevel"/>
    <w:tmpl w:val="F7B69E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76A7D8B"/>
    <w:multiLevelType w:val="hybridMultilevel"/>
    <w:tmpl w:val="E3A27E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A16B13"/>
    <w:multiLevelType w:val="hybridMultilevel"/>
    <w:tmpl w:val="E8DA8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A172048"/>
    <w:multiLevelType w:val="hybridMultilevel"/>
    <w:tmpl w:val="037063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AC811AC"/>
    <w:multiLevelType w:val="hybridMultilevel"/>
    <w:tmpl w:val="C406B708"/>
    <w:lvl w:ilvl="0" w:tplc="0282AE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3407DD"/>
    <w:multiLevelType w:val="hybridMultilevel"/>
    <w:tmpl w:val="9EB63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35A5985"/>
    <w:multiLevelType w:val="hybridMultilevel"/>
    <w:tmpl w:val="3FE0D1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80102B"/>
    <w:multiLevelType w:val="hybridMultilevel"/>
    <w:tmpl w:val="7E90F7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947EBF"/>
    <w:multiLevelType w:val="hybridMultilevel"/>
    <w:tmpl w:val="1FC2B6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A343E0F"/>
    <w:multiLevelType w:val="hybridMultilevel"/>
    <w:tmpl w:val="E4A4EF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7B2E71"/>
    <w:multiLevelType w:val="hybridMultilevel"/>
    <w:tmpl w:val="94E6CD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77719A"/>
    <w:multiLevelType w:val="hybridMultilevel"/>
    <w:tmpl w:val="ED6E1D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F10403F"/>
    <w:multiLevelType w:val="hybridMultilevel"/>
    <w:tmpl w:val="02328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F3C3F4B"/>
    <w:multiLevelType w:val="hybridMultilevel"/>
    <w:tmpl w:val="4882FB4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65753C0"/>
    <w:multiLevelType w:val="hybridMultilevel"/>
    <w:tmpl w:val="B0D0D234"/>
    <w:lvl w:ilvl="0" w:tplc="CD5E41EE">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3" w15:restartNumberingAfterBreak="0">
    <w:nsid w:val="38CA6364"/>
    <w:multiLevelType w:val="hybridMultilevel"/>
    <w:tmpl w:val="418642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E463AEE"/>
    <w:multiLevelType w:val="hybridMultilevel"/>
    <w:tmpl w:val="B7801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F130C24"/>
    <w:multiLevelType w:val="hybridMultilevel"/>
    <w:tmpl w:val="AC328D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3457AD8"/>
    <w:multiLevelType w:val="multilevel"/>
    <w:tmpl w:val="F896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1075C"/>
    <w:multiLevelType w:val="hybridMultilevel"/>
    <w:tmpl w:val="427E603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65F74C7"/>
    <w:multiLevelType w:val="hybridMultilevel"/>
    <w:tmpl w:val="5A68AA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EC3BF4"/>
    <w:multiLevelType w:val="hybridMultilevel"/>
    <w:tmpl w:val="E8B283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9E92C13"/>
    <w:multiLevelType w:val="hybridMultilevel"/>
    <w:tmpl w:val="671C1BE0"/>
    <w:lvl w:ilvl="0" w:tplc="9074218C">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FF22C09"/>
    <w:multiLevelType w:val="hybridMultilevel"/>
    <w:tmpl w:val="3C6A2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EE0EB1"/>
    <w:multiLevelType w:val="hybridMultilevel"/>
    <w:tmpl w:val="05FAA8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5C031A"/>
    <w:multiLevelType w:val="hybridMultilevel"/>
    <w:tmpl w:val="59161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D2F0F60"/>
    <w:multiLevelType w:val="hybridMultilevel"/>
    <w:tmpl w:val="32A0A2C0"/>
    <w:lvl w:ilvl="0" w:tplc="15467022">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D6C40E6"/>
    <w:multiLevelType w:val="hybridMultilevel"/>
    <w:tmpl w:val="FE1642D4"/>
    <w:lvl w:ilvl="0" w:tplc="2F94942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ECF748F"/>
    <w:multiLevelType w:val="hybridMultilevel"/>
    <w:tmpl w:val="23AABB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2C617D0"/>
    <w:multiLevelType w:val="hybridMultilevel"/>
    <w:tmpl w:val="9C341B76"/>
    <w:lvl w:ilvl="0" w:tplc="1A48934C">
      <w:start w:val="1"/>
      <w:numFmt w:val="bullet"/>
      <w:lvlText w:val="-"/>
      <w:lvlJc w:val="left"/>
      <w:pPr>
        <w:ind w:left="720" w:hanging="360"/>
      </w:pPr>
      <w:rPr>
        <w:rFonts w:ascii="Arial" w:eastAsiaTheme="minorHAnsi" w:hAnsi="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4C23933"/>
    <w:multiLevelType w:val="hybridMultilevel"/>
    <w:tmpl w:val="CFC8CA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81775C1"/>
    <w:multiLevelType w:val="hybridMultilevel"/>
    <w:tmpl w:val="63762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98E392E"/>
    <w:multiLevelType w:val="hybridMultilevel"/>
    <w:tmpl w:val="2674AD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1911BA9"/>
    <w:multiLevelType w:val="hybridMultilevel"/>
    <w:tmpl w:val="1B26CB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3043D97"/>
    <w:multiLevelType w:val="hybridMultilevel"/>
    <w:tmpl w:val="80AA97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6AE3E85"/>
    <w:multiLevelType w:val="hybridMultilevel"/>
    <w:tmpl w:val="145A0C8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7E13FDD"/>
    <w:multiLevelType w:val="hybridMultilevel"/>
    <w:tmpl w:val="01B6FA36"/>
    <w:lvl w:ilvl="0" w:tplc="D21CFEAE">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7F709C"/>
    <w:multiLevelType w:val="hybridMultilevel"/>
    <w:tmpl w:val="CBA2B1E6"/>
    <w:lvl w:ilvl="0" w:tplc="0282AE1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6" w15:restartNumberingAfterBreak="0">
    <w:nsid w:val="7B0E14B9"/>
    <w:multiLevelType w:val="hybridMultilevel"/>
    <w:tmpl w:val="7ADA59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4207C3"/>
    <w:multiLevelType w:val="hybridMultilevel"/>
    <w:tmpl w:val="971C9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F424F15"/>
    <w:multiLevelType w:val="hybridMultilevel"/>
    <w:tmpl w:val="D5940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F9665EC"/>
    <w:multiLevelType w:val="hybridMultilevel"/>
    <w:tmpl w:val="CC5EBF32"/>
    <w:lvl w:ilvl="0" w:tplc="0282AE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7"/>
  </w:num>
  <w:num w:numId="4">
    <w:abstractNumId w:val="35"/>
  </w:num>
  <w:num w:numId="5">
    <w:abstractNumId w:val="15"/>
  </w:num>
  <w:num w:numId="6">
    <w:abstractNumId w:val="11"/>
  </w:num>
  <w:num w:numId="7">
    <w:abstractNumId w:val="38"/>
  </w:num>
  <w:num w:numId="8">
    <w:abstractNumId w:val="8"/>
  </w:num>
  <w:num w:numId="9">
    <w:abstractNumId w:val="17"/>
  </w:num>
  <w:num w:numId="10">
    <w:abstractNumId w:val="16"/>
  </w:num>
  <w:num w:numId="11">
    <w:abstractNumId w:val="29"/>
  </w:num>
  <w:num w:numId="12">
    <w:abstractNumId w:val="31"/>
  </w:num>
  <w:num w:numId="13">
    <w:abstractNumId w:val="12"/>
  </w:num>
  <w:num w:numId="14">
    <w:abstractNumId w:val="45"/>
  </w:num>
  <w:num w:numId="15">
    <w:abstractNumId w:val="25"/>
  </w:num>
  <w:num w:numId="16">
    <w:abstractNumId w:val="46"/>
  </w:num>
  <w:num w:numId="17">
    <w:abstractNumId w:val="40"/>
  </w:num>
  <w:num w:numId="18">
    <w:abstractNumId w:val="47"/>
  </w:num>
  <w:num w:numId="19">
    <w:abstractNumId w:val="24"/>
  </w:num>
  <w:num w:numId="20">
    <w:abstractNumId w:val="49"/>
  </w:num>
  <w:num w:numId="21">
    <w:abstractNumId w:val="23"/>
  </w:num>
  <w:num w:numId="22">
    <w:abstractNumId w:val="21"/>
  </w:num>
  <w:num w:numId="23">
    <w:abstractNumId w:val="32"/>
  </w:num>
  <w:num w:numId="24">
    <w:abstractNumId w:val="42"/>
  </w:num>
  <w:num w:numId="25">
    <w:abstractNumId w:val="28"/>
  </w:num>
  <w:num w:numId="26">
    <w:abstractNumId w:val="5"/>
  </w:num>
  <w:num w:numId="27">
    <w:abstractNumId w:val="19"/>
  </w:num>
  <w:num w:numId="28">
    <w:abstractNumId w:val="48"/>
  </w:num>
  <w:num w:numId="29">
    <w:abstractNumId w:val="36"/>
  </w:num>
  <w:num w:numId="30">
    <w:abstractNumId w:val="2"/>
  </w:num>
  <w:num w:numId="31">
    <w:abstractNumId w:val="43"/>
  </w:num>
  <w:num w:numId="32">
    <w:abstractNumId w:val="18"/>
  </w:num>
  <w:num w:numId="33">
    <w:abstractNumId w:val="6"/>
  </w:num>
  <w:num w:numId="34">
    <w:abstractNumId w:val="1"/>
  </w:num>
  <w:num w:numId="35">
    <w:abstractNumId w:val="9"/>
  </w:num>
  <w:num w:numId="36">
    <w:abstractNumId w:val="14"/>
  </w:num>
  <w:num w:numId="37">
    <w:abstractNumId w:val="27"/>
  </w:num>
  <w:num w:numId="38">
    <w:abstractNumId w:val="30"/>
  </w:num>
  <w:num w:numId="39">
    <w:abstractNumId w:val="0"/>
  </w:num>
  <w:num w:numId="40">
    <w:abstractNumId w:val="26"/>
  </w:num>
  <w:num w:numId="41">
    <w:abstractNumId w:val="44"/>
  </w:num>
  <w:num w:numId="42">
    <w:abstractNumId w:val="13"/>
  </w:num>
  <w:num w:numId="43">
    <w:abstractNumId w:val="10"/>
  </w:num>
  <w:num w:numId="44">
    <w:abstractNumId w:val="39"/>
  </w:num>
  <w:num w:numId="45">
    <w:abstractNumId w:val="20"/>
  </w:num>
  <w:num w:numId="46">
    <w:abstractNumId w:val="3"/>
  </w:num>
  <w:num w:numId="47">
    <w:abstractNumId w:val="4"/>
  </w:num>
  <w:num w:numId="48">
    <w:abstractNumId w:val="37"/>
  </w:num>
  <w:num w:numId="49">
    <w:abstractNumId w:val="41"/>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D9"/>
    <w:rsid w:val="00021CB0"/>
    <w:rsid w:val="000233E7"/>
    <w:rsid w:val="00037CA7"/>
    <w:rsid w:val="00043093"/>
    <w:rsid w:val="00051739"/>
    <w:rsid w:val="0006519C"/>
    <w:rsid w:val="00071EBA"/>
    <w:rsid w:val="0007515B"/>
    <w:rsid w:val="00080E2E"/>
    <w:rsid w:val="000810F9"/>
    <w:rsid w:val="00093D99"/>
    <w:rsid w:val="00094F08"/>
    <w:rsid w:val="000A38F8"/>
    <w:rsid w:val="000A3C30"/>
    <w:rsid w:val="000A5434"/>
    <w:rsid w:val="000A58A8"/>
    <w:rsid w:val="000A5DD6"/>
    <w:rsid w:val="000B112C"/>
    <w:rsid w:val="000C64E0"/>
    <w:rsid w:val="00106A81"/>
    <w:rsid w:val="001218E1"/>
    <w:rsid w:val="00136E7C"/>
    <w:rsid w:val="001516E8"/>
    <w:rsid w:val="0015254A"/>
    <w:rsid w:val="0016049A"/>
    <w:rsid w:val="00163236"/>
    <w:rsid w:val="00164945"/>
    <w:rsid w:val="00167FF4"/>
    <w:rsid w:val="001702FE"/>
    <w:rsid w:val="00171A25"/>
    <w:rsid w:val="00176097"/>
    <w:rsid w:val="001A05FC"/>
    <w:rsid w:val="001B151F"/>
    <w:rsid w:val="001B6CAC"/>
    <w:rsid w:val="001C7825"/>
    <w:rsid w:val="001C7BD6"/>
    <w:rsid w:val="001D39C1"/>
    <w:rsid w:val="001D7793"/>
    <w:rsid w:val="001E09AE"/>
    <w:rsid w:val="001E128A"/>
    <w:rsid w:val="001E1A06"/>
    <w:rsid w:val="001E5298"/>
    <w:rsid w:val="00201458"/>
    <w:rsid w:val="00205914"/>
    <w:rsid w:val="00216738"/>
    <w:rsid w:val="002170F4"/>
    <w:rsid w:val="00220C4D"/>
    <w:rsid w:val="00225A02"/>
    <w:rsid w:val="0023742B"/>
    <w:rsid w:val="00246767"/>
    <w:rsid w:val="00246D91"/>
    <w:rsid w:val="00255B58"/>
    <w:rsid w:val="00291B5B"/>
    <w:rsid w:val="002A1864"/>
    <w:rsid w:val="002A2909"/>
    <w:rsid w:val="002B2118"/>
    <w:rsid w:val="002D04C7"/>
    <w:rsid w:val="002D35AE"/>
    <w:rsid w:val="002E2676"/>
    <w:rsid w:val="002F2B6E"/>
    <w:rsid w:val="00326AFC"/>
    <w:rsid w:val="003276E4"/>
    <w:rsid w:val="003279BF"/>
    <w:rsid w:val="00341E4D"/>
    <w:rsid w:val="00384F08"/>
    <w:rsid w:val="00394DD0"/>
    <w:rsid w:val="00394E56"/>
    <w:rsid w:val="00396CD2"/>
    <w:rsid w:val="003A6E35"/>
    <w:rsid w:val="003B1DC1"/>
    <w:rsid w:val="003C1F09"/>
    <w:rsid w:val="003E265F"/>
    <w:rsid w:val="003F0766"/>
    <w:rsid w:val="00407209"/>
    <w:rsid w:val="00412A7B"/>
    <w:rsid w:val="00424C22"/>
    <w:rsid w:val="00437B54"/>
    <w:rsid w:val="00441910"/>
    <w:rsid w:val="00441BD9"/>
    <w:rsid w:val="00443F66"/>
    <w:rsid w:val="00446844"/>
    <w:rsid w:val="00455F18"/>
    <w:rsid w:val="00461EB8"/>
    <w:rsid w:val="0048484E"/>
    <w:rsid w:val="00487815"/>
    <w:rsid w:val="00491CED"/>
    <w:rsid w:val="004A2848"/>
    <w:rsid w:val="004A6485"/>
    <w:rsid w:val="004A71F8"/>
    <w:rsid w:val="004B341E"/>
    <w:rsid w:val="004C29B0"/>
    <w:rsid w:val="004C5B3E"/>
    <w:rsid w:val="004D214F"/>
    <w:rsid w:val="004D58A2"/>
    <w:rsid w:val="004E4ADA"/>
    <w:rsid w:val="004F157A"/>
    <w:rsid w:val="004F27D8"/>
    <w:rsid w:val="004F3930"/>
    <w:rsid w:val="00500DBC"/>
    <w:rsid w:val="00507323"/>
    <w:rsid w:val="0051540D"/>
    <w:rsid w:val="00516BA8"/>
    <w:rsid w:val="00517701"/>
    <w:rsid w:val="005218FC"/>
    <w:rsid w:val="00525EA8"/>
    <w:rsid w:val="00542672"/>
    <w:rsid w:val="00544CD8"/>
    <w:rsid w:val="00564734"/>
    <w:rsid w:val="0056545F"/>
    <w:rsid w:val="005929ED"/>
    <w:rsid w:val="005A2D33"/>
    <w:rsid w:val="005A650D"/>
    <w:rsid w:val="005B634F"/>
    <w:rsid w:val="005C4FD9"/>
    <w:rsid w:val="005C7AD4"/>
    <w:rsid w:val="005D09A3"/>
    <w:rsid w:val="005D34E7"/>
    <w:rsid w:val="005D439D"/>
    <w:rsid w:val="005E4A1D"/>
    <w:rsid w:val="0061134A"/>
    <w:rsid w:val="0062758D"/>
    <w:rsid w:val="00631876"/>
    <w:rsid w:val="006337B7"/>
    <w:rsid w:val="00646BC6"/>
    <w:rsid w:val="00651A47"/>
    <w:rsid w:val="00661EFB"/>
    <w:rsid w:val="006727CB"/>
    <w:rsid w:val="00675770"/>
    <w:rsid w:val="006819C7"/>
    <w:rsid w:val="006828FA"/>
    <w:rsid w:val="00687967"/>
    <w:rsid w:val="00692F32"/>
    <w:rsid w:val="006A3B0B"/>
    <w:rsid w:val="006B1293"/>
    <w:rsid w:val="006B5844"/>
    <w:rsid w:val="006C7048"/>
    <w:rsid w:val="006D3ACB"/>
    <w:rsid w:val="006D4545"/>
    <w:rsid w:val="006D52F1"/>
    <w:rsid w:val="006E74FD"/>
    <w:rsid w:val="006F38FA"/>
    <w:rsid w:val="006F725E"/>
    <w:rsid w:val="007075D8"/>
    <w:rsid w:val="00712AFF"/>
    <w:rsid w:val="00716AFC"/>
    <w:rsid w:val="00717F0A"/>
    <w:rsid w:val="00720F7D"/>
    <w:rsid w:val="007228EE"/>
    <w:rsid w:val="00722D8A"/>
    <w:rsid w:val="00725CCA"/>
    <w:rsid w:val="00727A18"/>
    <w:rsid w:val="007436EA"/>
    <w:rsid w:val="00750254"/>
    <w:rsid w:val="00753A9E"/>
    <w:rsid w:val="00756159"/>
    <w:rsid w:val="00760AFB"/>
    <w:rsid w:val="00767DBF"/>
    <w:rsid w:val="00785064"/>
    <w:rsid w:val="0079155A"/>
    <w:rsid w:val="0079758D"/>
    <w:rsid w:val="00797E8F"/>
    <w:rsid w:val="007B6E5C"/>
    <w:rsid w:val="007E004C"/>
    <w:rsid w:val="007E7CD8"/>
    <w:rsid w:val="007F1902"/>
    <w:rsid w:val="007F2440"/>
    <w:rsid w:val="0080784C"/>
    <w:rsid w:val="008079DE"/>
    <w:rsid w:val="00822522"/>
    <w:rsid w:val="00823E01"/>
    <w:rsid w:val="0082409F"/>
    <w:rsid w:val="0082428C"/>
    <w:rsid w:val="00831FA1"/>
    <w:rsid w:val="008444BB"/>
    <w:rsid w:val="00852BE6"/>
    <w:rsid w:val="00873FC9"/>
    <w:rsid w:val="0087430E"/>
    <w:rsid w:val="00877DFD"/>
    <w:rsid w:val="0089321F"/>
    <w:rsid w:val="00893DFA"/>
    <w:rsid w:val="00897E3D"/>
    <w:rsid w:val="008A7978"/>
    <w:rsid w:val="008C411E"/>
    <w:rsid w:val="008D052A"/>
    <w:rsid w:val="008D3DF1"/>
    <w:rsid w:val="008D590A"/>
    <w:rsid w:val="008E356B"/>
    <w:rsid w:val="0091422C"/>
    <w:rsid w:val="009210B3"/>
    <w:rsid w:val="00927050"/>
    <w:rsid w:val="00941AEC"/>
    <w:rsid w:val="0094654A"/>
    <w:rsid w:val="00953EE2"/>
    <w:rsid w:val="00962A0D"/>
    <w:rsid w:val="00966B04"/>
    <w:rsid w:val="00977BE5"/>
    <w:rsid w:val="0098211D"/>
    <w:rsid w:val="00982420"/>
    <w:rsid w:val="00982B62"/>
    <w:rsid w:val="00990B11"/>
    <w:rsid w:val="009B04A3"/>
    <w:rsid w:val="009C64A8"/>
    <w:rsid w:val="009C761C"/>
    <w:rsid w:val="009C7CCC"/>
    <w:rsid w:val="009D391F"/>
    <w:rsid w:val="009E339E"/>
    <w:rsid w:val="009E5FA0"/>
    <w:rsid w:val="00A269E4"/>
    <w:rsid w:val="00A33745"/>
    <w:rsid w:val="00A508E6"/>
    <w:rsid w:val="00A52A4A"/>
    <w:rsid w:val="00A55A17"/>
    <w:rsid w:val="00A7333A"/>
    <w:rsid w:val="00A82D8A"/>
    <w:rsid w:val="00A939A3"/>
    <w:rsid w:val="00AA3B0F"/>
    <w:rsid w:val="00AA6966"/>
    <w:rsid w:val="00AB5D26"/>
    <w:rsid w:val="00AE6003"/>
    <w:rsid w:val="00AF1D33"/>
    <w:rsid w:val="00AF2162"/>
    <w:rsid w:val="00AF2392"/>
    <w:rsid w:val="00AF2A73"/>
    <w:rsid w:val="00AF578A"/>
    <w:rsid w:val="00B02809"/>
    <w:rsid w:val="00B0427F"/>
    <w:rsid w:val="00B1023B"/>
    <w:rsid w:val="00B165A9"/>
    <w:rsid w:val="00B226E1"/>
    <w:rsid w:val="00B254CA"/>
    <w:rsid w:val="00B33849"/>
    <w:rsid w:val="00B338B0"/>
    <w:rsid w:val="00B349D8"/>
    <w:rsid w:val="00B436AF"/>
    <w:rsid w:val="00B45DB0"/>
    <w:rsid w:val="00B5307D"/>
    <w:rsid w:val="00B551F9"/>
    <w:rsid w:val="00B702A7"/>
    <w:rsid w:val="00B915E0"/>
    <w:rsid w:val="00B92A58"/>
    <w:rsid w:val="00B92D32"/>
    <w:rsid w:val="00BA3D16"/>
    <w:rsid w:val="00BA5835"/>
    <w:rsid w:val="00BB3ACB"/>
    <w:rsid w:val="00BB7332"/>
    <w:rsid w:val="00BC4AFD"/>
    <w:rsid w:val="00BD0C29"/>
    <w:rsid w:val="00BD767F"/>
    <w:rsid w:val="00C11D97"/>
    <w:rsid w:val="00C15BE4"/>
    <w:rsid w:val="00C172CA"/>
    <w:rsid w:val="00C22EF2"/>
    <w:rsid w:val="00C233F8"/>
    <w:rsid w:val="00C36E61"/>
    <w:rsid w:val="00C52D45"/>
    <w:rsid w:val="00C6171C"/>
    <w:rsid w:val="00C62AB7"/>
    <w:rsid w:val="00C66FB4"/>
    <w:rsid w:val="00C72009"/>
    <w:rsid w:val="00C75608"/>
    <w:rsid w:val="00C81648"/>
    <w:rsid w:val="00C84BB1"/>
    <w:rsid w:val="00C84CB9"/>
    <w:rsid w:val="00CA64FB"/>
    <w:rsid w:val="00CA6783"/>
    <w:rsid w:val="00CB394A"/>
    <w:rsid w:val="00CB65A6"/>
    <w:rsid w:val="00CC549B"/>
    <w:rsid w:val="00CD3BD3"/>
    <w:rsid w:val="00CE317A"/>
    <w:rsid w:val="00D00EA2"/>
    <w:rsid w:val="00D12377"/>
    <w:rsid w:val="00D1452A"/>
    <w:rsid w:val="00D15803"/>
    <w:rsid w:val="00D30024"/>
    <w:rsid w:val="00D33047"/>
    <w:rsid w:val="00D36CC3"/>
    <w:rsid w:val="00D37808"/>
    <w:rsid w:val="00D40F50"/>
    <w:rsid w:val="00D47640"/>
    <w:rsid w:val="00D54485"/>
    <w:rsid w:val="00D61193"/>
    <w:rsid w:val="00D64E36"/>
    <w:rsid w:val="00D8337D"/>
    <w:rsid w:val="00D87669"/>
    <w:rsid w:val="00D91F12"/>
    <w:rsid w:val="00D93239"/>
    <w:rsid w:val="00DA54EC"/>
    <w:rsid w:val="00DA7BE0"/>
    <w:rsid w:val="00DC66CD"/>
    <w:rsid w:val="00DD0334"/>
    <w:rsid w:val="00DD483C"/>
    <w:rsid w:val="00DD603D"/>
    <w:rsid w:val="00DE13D6"/>
    <w:rsid w:val="00DE2F88"/>
    <w:rsid w:val="00DE45A3"/>
    <w:rsid w:val="00DE6E37"/>
    <w:rsid w:val="00DF7D62"/>
    <w:rsid w:val="00E0014C"/>
    <w:rsid w:val="00E03615"/>
    <w:rsid w:val="00E10B9D"/>
    <w:rsid w:val="00E15AD2"/>
    <w:rsid w:val="00E24120"/>
    <w:rsid w:val="00E25117"/>
    <w:rsid w:val="00E33E5E"/>
    <w:rsid w:val="00E35B4B"/>
    <w:rsid w:val="00E42555"/>
    <w:rsid w:val="00E4620C"/>
    <w:rsid w:val="00E53FC7"/>
    <w:rsid w:val="00E559BE"/>
    <w:rsid w:val="00E627E5"/>
    <w:rsid w:val="00E65844"/>
    <w:rsid w:val="00E67E32"/>
    <w:rsid w:val="00E76287"/>
    <w:rsid w:val="00E83A4A"/>
    <w:rsid w:val="00E93D81"/>
    <w:rsid w:val="00EB2D8E"/>
    <w:rsid w:val="00EB573B"/>
    <w:rsid w:val="00EB68EF"/>
    <w:rsid w:val="00EB6ABC"/>
    <w:rsid w:val="00ED3793"/>
    <w:rsid w:val="00EE4066"/>
    <w:rsid w:val="00EE7AE0"/>
    <w:rsid w:val="00EF564E"/>
    <w:rsid w:val="00F0024E"/>
    <w:rsid w:val="00F15355"/>
    <w:rsid w:val="00F23ED5"/>
    <w:rsid w:val="00F24DE4"/>
    <w:rsid w:val="00F262B0"/>
    <w:rsid w:val="00F3229E"/>
    <w:rsid w:val="00F34811"/>
    <w:rsid w:val="00F44D26"/>
    <w:rsid w:val="00F47776"/>
    <w:rsid w:val="00F53A15"/>
    <w:rsid w:val="00F72A2F"/>
    <w:rsid w:val="00F85D7C"/>
    <w:rsid w:val="00F85F0B"/>
    <w:rsid w:val="00FA0073"/>
    <w:rsid w:val="00FA472D"/>
    <w:rsid w:val="00FA5B63"/>
    <w:rsid w:val="00FA6C96"/>
    <w:rsid w:val="00FC135D"/>
    <w:rsid w:val="00FC52F8"/>
    <w:rsid w:val="00FD7261"/>
    <w:rsid w:val="00FE1263"/>
    <w:rsid w:val="00FF0DAC"/>
    <w:rsid w:val="00FF2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E0F3"/>
  <w15:docId w15:val="{035EA98F-7EED-41B2-A418-BB1C507B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578A"/>
    <w:pPr>
      <w:ind w:left="720"/>
      <w:contextualSpacing/>
    </w:pPr>
  </w:style>
  <w:style w:type="paragraph" w:styleId="Kopfzeile">
    <w:name w:val="header"/>
    <w:basedOn w:val="Standard"/>
    <w:link w:val="KopfzeileZchn"/>
    <w:uiPriority w:val="99"/>
    <w:unhideWhenUsed/>
    <w:rsid w:val="00BB3A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3ACB"/>
  </w:style>
  <w:style w:type="paragraph" w:styleId="Fuzeile">
    <w:name w:val="footer"/>
    <w:basedOn w:val="Standard"/>
    <w:link w:val="FuzeileZchn"/>
    <w:uiPriority w:val="99"/>
    <w:unhideWhenUsed/>
    <w:rsid w:val="00BB3A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3ACB"/>
  </w:style>
  <w:style w:type="character" w:styleId="Hyperlink">
    <w:name w:val="Hyperlink"/>
    <w:basedOn w:val="Absatz-Standardschriftart"/>
    <w:uiPriority w:val="99"/>
    <w:unhideWhenUsed/>
    <w:rsid w:val="00B436AF"/>
    <w:rPr>
      <w:color w:val="0000FF" w:themeColor="hyperlink"/>
      <w:u w:val="single"/>
    </w:rPr>
  </w:style>
  <w:style w:type="character" w:styleId="Kommentarzeichen">
    <w:name w:val="annotation reference"/>
    <w:basedOn w:val="Absatz-Standardschriftart"/>
    <w:uiPriority w:val="99"/>
    <w:semiHidden/>
    <w:unhideWhenUsed/>
    <w:rsid w:val="009C761C"/>
    <w:rPr>
      <w:sz w:val="16"/>
      <w:szCs w:val="16"/>
    </w:rPr>
  </w:style>
  <w:style w:type="paragraph" w:styleId="Kommentartext">
    <w:name w:val="annotation text"/>
    <w:basedOn w:val="Standard"/>
    <w:link w:val="KommentartextZchn"/>
    <w:uiPriority w:val="99"/>
    <w:unhideWhenUsed/>
    <w:rsid w:val="009C761C"/>
    <w:pPr>
      <w:spacing w:line="240" w:lineRule="auto"/>
    </w:pPr>
    <w:rPr>
      <w:sz w:val="20"/>
      <w:szCs w:val="20"/>
    </w:rPr>
  </w:style>
  <w:style w:type="character" w:customStyle="1" w:styleId="KommentartextZchn">
    <w:name w:val="Kommentartext Zchn"/>
    <w:basedOn w:val="Absatz-Standardschriftart"/>
    <w:link w:val="Kommentartext"/>
    <w:uiPriority w:val="99"/>
    <w:rsid w:val="009C761C"/>
    <w:rPr>
      <w:sz w:val="20"/>
      <w:szCs w:val="20"/>
    </w:rPr>
  </w:style>
  <w:style w:type="paragraph" w:styleId="Kommentarthema">
    <w:name w:val="annotation subject"/>
    <w:basedOn w:val="Kommentartext"/>
    <w:next w:val="Kommentartext"/>
    <w:link w:val="KommentarthemaZchn"/>
    <w:uiPriority w:val="99"/>
    <w:semiHidden/>
    <w:unhideWhenUsed/>
    <w:rsid w:val="009C761C"/>
    <w:rPr>
      <w:b/>
      <w:bCs/>
    </w:rPr>
  </w:style>
  <w:style w:type="character" w:customStyle="1" w:styleId="KommentarthemaZchn">
    <w:name w:val="Kommentarthema Zchn"/>
    <w:basedOn w:val="KommentartextZchn"/>
    <w:link w:val="Kommentarthema"/>
    <w:uiPriority w:val="99"/>
    <w:semiHidden/>
    <w:rsid w:val="009C761C"/>
    <w:rPr>
      <w:b/>
      <w:bCs/>
      <w:sz w:val="20"/>
      <w:szCs w:val="20"/>
    </w:rPr>
  </w:style>
  <w:style w:type="paragraph" w:styleId="Sprechblasentext">
    <w:name w:val="Balloon Text"/>
    <w:basedOn w:val="Standard"/>
    <w:link w:val="SprechblasentextZchn"/>
    <w:uiPriority w:val="99"/>
    <w:semiHidden/>
    <w:unhideWhenUsed/>
    <w:rsid w:val="009C76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C761C"/>
    <w:rPr>
      <w:rFonts w:ascii="Segoe UI" w:hAnsi="Segoe UI" w:cs="Segoe UI"/>
      <w:sz w:val="18"/>
      <w:szCs w:val="18"/>
    </w:rPr>
  </w:style>
  <w:style w:type="character" w:styleId="Fett">
    <w:name w:val="Strong"/>
    <w:basedOn w:val="Absatz-Standardschriftart"/>
    <w:uiPriority w:val="22"/>
    <w:qFormat/>
    <w:rsid w:val="00AF2162"/>
    <w:rPr>
      <w:b/>
      <w:bCs/>
    </w:rPr>
  </w:style>
  <w:style w:type="character" w:customStyle="1" w:styleId="NichtaufgelsteErwhnung1">
    <w:name w:val="Nicht aufgelöste Erwähnung1"/>
    <w:basedOn w:val="Absatz-Standardschriftart"/>
    <w:uiPriority w:val="99"/>
    <w:semiHidden/>
    <w:unhideWhenUsed/>
    <w:rsid w:val="008A7978"/>
    <w:rPr>
      <w:color w:val="605E5C"/>
      <w:shd w:val="clear" w:color="auto" w:fill="E1DFDD"/>
    </w:rPr>
  </w:style>
  <w:style w:type="paragraph" w:styleId="berarbeitung">
    <w:name w:val="Revision"/>
    <w:hidden/>
    <w:uiPriority w:val="99"/>
    <w:semiHidden/>
    <w:rsid w:val="001E128A"/>
    <w:pPr>
      <w:spacing w:after="0" w:line="240" w:lineRule="auto"/>
    </w:pPr>
  </w:style>
  <w:style w:type="paragraph" w:customStyle="1" w:styleId="Default">
    <w:name w:val="Default"/>
    <w:rsid w:val="001B15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2922">
      <w:bodyDiv w:val="1"/>
      <w:marLeft w:val="0"/>
      <w:marRight w:val="0"/>
      <w:marTop w:val="0"/>
      <w:marBottom w:val="0"/>
      <w:divBdr>
        <w:top w:val="none" w:sz="0" w:space="0" w:color="auto"/>
        <w:left w:val="none" w:sz="0" w:space="0" w:color="auto"/>
        <w:bottom w:val="none" w:sz="0" w:space="0" w:color="auto"/>
        <w:right w:val="none" w:sz="0" w:space="0" w:color="auto"/>
      </w:divBdr>
      <w:divsChild>
        <w:div w:id="5449460">
          <w:marLeft w:val="0"/>
          <w:marRight w:val="0"/>
          <w:marTop w:val="0"/>
          <w:marBottom w:val="0"/>
          <w:divBdr>
            <w:top w:val="none" w:sz="0" w:space="0" w:color="auto"/>
            <w:left w:val="none" w:sz="0" w:space="0" w:color="auto"/>
            <w:bottom w:val="none" w:sz="0" w:space="0" w:color="auto"/>
            <w:right w:val="none" w:sz="0" w:space="0" w:color="auto"/>
          </w:divBdr>
          <w:divsChild>
            <w:div w:id="1515919735">
              <w:marLeft w:val="0"/>
              <w:marRight w:val="0"/>
              <w:marTop w:val="0"/>
              <w:marBottom w:val="0"/>
              <w:divBdr>
                <w:top w:val="none" w:sz="0" w:space="0" w:color="auto"/>
                <w:left w:val="none" w:sz="0" w:space="0" w:color="auto"/>
                <w:bottom w:val="none" w:sz="0" w:space="0" w:color="auto"/>
                <w:right w:val="none" w:sz="0" w:space="0" w:color="auto"/>
              </w:divBdr>
              <w:divsChild>
                <w:div w:id="1246723667">
                  <w:marLeft w:val="0"/>
                  <w:marRight w:val="0"/>
                  <w:marTop w:val="0"/>
                  <w:marBottom w:val="0"/>
                  <w:divBdr>
                    <w:top w:val="none" w:sz="0" w:space="0" w:color="auto"/>
                    <w:left w:val="none" w:sz="0" w:space="0" w:color="auto"/>
                    <w:bottom w:val="none" w:sz="0" w:space="0" w:color="auto"/>
                    <w:right w:val="none" w:sz="0" w:space="0" w:color="auto"/>
                  </w:divBdr>
                  <w:divsChild>
                    <w:div w:id="1698773305">
                      <w:marLeft w:val="0"/>
                      <w:marRight w:val="0"/>
                      <w:marTop w:val="0"/>
                      <w:marBottom w:val="0"/>
                      <w:divBdr>
                        <w:top w:val="none" w:sz="0" w:space="0" w:color="auto"/>
                        <w:left w:val="none" w:sz="0" w:space="0" w:color="auto"/>
                        <w:bottom w:val="none" w:sz="0" w:space="0" w:color="auto"/>
                        <w:right w:val="none" w:sz="0" w:space="0" w:color="auto"/>
                      </w:divBdr>
                      <w:divsChild>
                        <w:div w:id="1097554676">
                          <w:marLeft w:val="0"/>
                          <w:marRight w:val="0"/>
                          <w:marTop w:val="15"/>
                          <w:marBottom w:val="0"/>
                          <w:divBdr>
                            <w:top w:val="none" w:sz="0" w:space="0" w:color="auto"/>
                            <w:left w:val="none" w:sz="0" w:space="0" w:color="auto"/>
                            <w:bottom w:val="none" w:sz="0" w:space="0" w:color="auto"/>
                            <w:right w:val="none" w:sz="0" w:space="0" w:color="auto"/>
                          </w:divBdr>
                          <w:divsChild>
                            <w:div w:id="1822846251">
                              <w:marLeft w:val="0"/>
                              <w:marRight w:val="0"/>
                              <w:marTop w:val="0"/>
                              <w:marBottom w:val="0"/>
                              <w:divBdr>
                                <w:top w:val="none" w:sz="0" w:space="0" w:color="auto"/>
                                <w:left w:val="none" w:sz="0" w:space="0" w:color="auto"/>
                                <w:bottom w:val="none" w:sz="0" w:space="0" w:color="auto"/>
                                <w:right w:val="none" w:sz="0" w:space="0" w:color="auto"/>
                              </w:divBdr>
                              <w:divsChild>
                                <w:div w:id="1836342115">
                                  <w:marLeft w:val="0"/>
                                  <w:marRight w:val="0"/>
                                  <w:marTop w:val="0"/>
                                  <w:marBottom w:val="0"/>
                                  <w:divBdr>
                                    <w:top w:val="none" w:sz="0" w:space="0" w:color="auto"/>
                                    <w:left w:val="none" w:sz="0" w:space="0" w:color="auto"/>
                                    <w:bottom w:val="none" w:sz="0" w:space="0" w:color="auto"/>
                                    <w:right w:val="none" w:sz="0" w:space="0" w:color="auto"/>
                                  </w:divBdr>
                                </w:div>
                                <w:div w:id="360280289">
                                  <w:marLeft w:val="0"/>
                                  <w:marRight w:val="0"/>
                                  <w:marTop w:val="0"/>
                                  <w:marBottom w:val="0"/>
                                  <w:divBdr>
                                    <w:top w:val="none" w:sz="0" w:space="0" w:color="auto"/>
                                    <w:left w:val="none" w:sz="0" w:space="0" w:color="auto"/>
                                    <w:bottom w:val="none" w:sz="0" w:space="0" w:color="auto"/>
                                    <w:right w:val="none" w:sz="0" w:space="0" w:color="auto"/>
                                  </w:divBdr>
                                </w:div>
                                <w:div w:id="607659181">
                                  <w:marLeft w:val="0"/>
                                  <w:marRight w:val="0"/>
                                  <w:marTop w:val="0"/>
                                  <w:marBottom w:val="0"/>
                                  <w:divBdr>
                                    <w:top w:val="none" w:sz="0" w:space="0" w:color="auto"/>
                                    <w:left w:val="none" w:sz="0" w:space="0" w:color="auto"/>
                                    <w:bottom w:val="none" w:sz="0" w:space="0" w:color="auto"/>
                                    <w:right w:val="none" w:sz="0" w:space="0" w:color="auto"/>
                                  </w:divBdr>
                                </w:div>
                                <w:div w:id="157698897">
                                  <w:marLeft w:val="0"/>
                                  <w:marRight w:val="0"/>
                                  <w:marTop w:val="0"/>
                                  <w:marBottom w:val="0"/>
                                  <w:divBdr>
                                    <w:top w:val="none" w:sz="0" w:space="0" w:color="auto"/>
                                    <w:left w:val="none" w:sz="0" w:space="0" w:color="auto"/>
                                    <w:bottom w:val="none" w:sz="0" w:space="0" w:color="auto"/>
                                    <w:right w:val="none" w:sz="0" w:space="0" w:color="auto"/>
                                  </w:divBdr>
                                </w:div>
                                <w:div w:id="126557389">
                                  <w:marLeft w:val="0"/>
                                  <w:marRight w:val="0"/>
                                  <w:marTop w:val="0"/>
                                  <w:marBottom w:val="0"/>
                                  <w:divBdr>
                                    <w:top w:val="none" w:sz="0" w:space="0" w:color="auto"/>
                                    <w:left w:val="none" w:sz="0" w:space="0" w:color="auto"/>
                                    <w:bottom w:val="none" w:sz="0" w:space="0" w:color="auto"/>
                                    <w:right w:val="none" w:sz="0" w:space="0" w:color="auto"/>
                                  </w:divBdr>
                                </w:div>
                                <w:div w:id="2015108248">
                                  <w:marLeft w:val="0"/>
                                  <w:marRight w:val="0"/>
                                  <w:marTop w:val="0"/>
                                  <w:marBottom w:val="0"/>
                                  <w:divBdr>
                                    <w:top w:val="none" w:sz="0" w:space="0" w:color="auto"/>
                                    <w:left w:val="none" w:sz="0" w:space="0" w:color="auto"/>
                                    <w:bottom w:val="none" w:sz="0" w:space="0" w:color="auto"/>
                                    <w:right w:val="none" w:sz="0" w:space="0" w:color="auto"/>
                                  </w:divBdr>
                                </w:div>
                                <w:div w:id="2023774079">
                                  <w:marLeft w:val="0"/>
                                  <w:marRight w:val="0"/>
                                  <w:marTop w:val="0"/>
                                  <w:marBottom w:val="0"/>
                                  <w:divBdr>
                                    <w:top w:val="none" w:sz="0" w:space="0" w:color="auto"/>
                                    <w:left w:val="none" w:sz="0" w:space="0" w:color="auto"/>
                                    <w:bottom w:val="none" w:sz="0" w:space="0" w:color="auto"/>
                                    <w:right w:val="none" w:sz="0" w:space="0" w:color="auto"/>
                                  </w:divBdr>
                                </w:div>
                                <w:div w:id="1332176129">
                                  <w:marLeft w:val="0"/>
                                  <w:marRight w:val="0"/>
                                  <w:marTop w:val="0"/>
                                  <w:marBottom w:val="0"/>
                                  <w:divBdr>
                                    <w:top w:val="none" w:sz="0" w:space="0" w:color="auto"/>
                                    <w:left w:val="none" w:sz="0" w:space="0" w:color="auto"/>
                                    <w:bottom w:val="none" w:sz="0" w:space="0" w:color="auto"/>
                                    <w:right w:val="none" w:sz="0" w:space="0" w:color="auto"/>
                                  </w:divBdr>
                                </w:div>
                                <w:div w:id="1837646313">
                                  <w:marLeft w:val="0"/>
                                  <w:marRight w:val="0"/>
                                  <w:marTop w:val="0"/>
                                  <w:marBottom w:val="0"/>
                                  <w:divBdr>
                                    <w:top w:val="none" w:sz="0" w:space="0" w:color="auto"/>
                                    <w:left w:val="none" w:sz="0" w:space="0" w:color="auto"/>
                                    <w:bottom w:val="none" w:sz="0" w:space="0" w:color="auto"/>
                                    <w:right w:val="none" w:sz="0" w:space="0" w:color="auto"/>
                                  </w:divBdr>
                                </w:div>
                                <w:div w:id="811796764">
                                  <w:marLeft w:val="0"/>
                                  <w:marRight w:val="0"/>
                                  <w:marTop w:val="0"/>
                                  <w:marBottom w:val="0"/>
                                  <w:divBdr>
                                    <w:top w:val="none" w:sz="0" w:space="0" w:color="auto"/>
                                    <w:left w:val="none" w:sz="0" w:space="0" w:color="auto"/>
                                    <w:bottom w:val="none" w:sz="0" w:space="0" w:color="auto"/>
                                    <w:right w:val="none" w:sz="0" w:space="0" w:color="auto"/>
                                  </w:divBdr>
                                </w:div>
                                <w:div w:id="1935430204">
                                  <w:marLeft w:val="0"/>
                                  <w:marRight w:val="0"/>
                                  <w:marTop w:val="0"/>
                                  <w:marBottom w:val="0"/>
                                  <w:divBdr>
                                    <w:top w:val="none" w:sz="0" w:space="0" w:color="auto"/>
                                    <w:left w:val="none" w:sz="0" w:space="0" w:color="auto"/>
                                    <w:bottom w:val="none" w:sz="0" w:space="0" w:color="auto"/>
                                    <w:right w:val="none" w:sz="0" w:space="0" w:color="auto"/>
                                  </w:divBdr>
                                </w:div>
                                <w:div w:id="1470365923">
                                  <w:marLeft w:val="0"/>
                                  <w:marRight w:val="0"/>
                                  <w:marTop w:val="0"/>
                                  <w:marBottom w:val="0"/>
                                  <w:divBdr>
                                    <w:top w:val="none" w:sz="0" w:space="0" w:color="auto"/>
                                    <w:left w:val="none" w:sz="0" w:space="0" w:color="auto"/>
                                    <w:bottom w:val="none" w:sz="0" w:space="0" w:color="auto"/>
                                    <w:right w:val="none" w:sz="0" w:space="0" w:color="auto"/>
                                  </w:divBdr>
                                </w:div>
                                <w:div w:id="211697076">
                                  <w:marLeft w:val="0"/>
                                  <w:marRight w:val="0"/>
                                  <w:marTop w:val="0"/>
                                  <w:marBottom w:val="0"/>
                                  <w:divBdr>
                                    <w:top w:val="none" w:sz="0" w:space="0" w:color="auto"/>
                                    <w:left w:val="none" w:sz="0" w:space="0" w:color="auto"/>
                                    <w:bottom w:val="none" w:sz="0" w:space="0" w:color="auto"/>
                                    <w:right w:val="none" w:sz="0" w:space="0" w:color="auto"/>
                                  </w:divBdr>
                                </w:div>
                                <w:div w:id="1090004066">
                                  <w:marLeft w:val="0"/>
                                  <w:marRight w:val="0"/>
                                  <w:marTop w:val="0"/>
                                  <w:marBottom w:val="0"/>
                                  <w:divBdr>
                                    <w:top w:val="none" w:sz="0" w:space="0" w:color="auto"/>
                                    <w:left w:val="none" w:sz="0" w:space="0" w:color="auto"/>
                                    <w:bottom w:val="none" w:sz="0" w:space="0" w:color="auto"/>
                                    <w:right w:val="none" w:sz="0" w:space="0" w:color="auto"/>
                                  </w:divBdr>
                                </w:div>
                                <w:div w:id="15534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363840">
      <w:bodyDiv w:val="1"/>
      <w:marLeft w:val="0"/>
      <w:marRight w:val="0"/>
      <w:marTop w:val="0"/>
      <w:marBottom w:val="0"/>
      <w:divBdr>
        <w:top w:val="none" w:sz="0" w:space="0" w:color="auto"/>
        <w:left w:val="none" w:sz="0" w:space="0" w:color="auto"/>
        <w:bottom w:val="none" w:sz="0" w:space="0" w:color="auto"/>
        <w:right w:val="none" w:sz="0" w:space="0" w:color="auto"/>
      </w:divBdr>
      <w:divsChild>
        <w:div w:id="987707027">
          <w:marLeft w:val="0"/>
          <w:marRight w:val="0"/>
          <w:marTop w:val="0"/>
          <w:marBottom w:val="0"/>
          <w:divBdr>
            <w:top w:val="none" w:sz="0" w:space="0" w:color="auto"/>
            <w:left w:val="none" w:sz="0" w:space="0" w:color="auto"/>
            <w:bottom w:val="none" w:sz="0" w:space="0" w:color="auto"/>
            <w:right w:val="none" w:sz="0" w:space="0" w:color="auto"/>
          </w:divBdr>
          <w:divsChild>
            <w:div w:id="428820256">
              <w:marLeft w:val="0"/>
              <w:marRight w:val="0"/>
              <w:marTop w:val="0"/>
              <w:marBottom w:val="0"/>
              <w:divBdr>
                <w:top w:val="none" w:sz="0" w:space="0" w:color="auto"/>
                <w:left w:val="none" w:sz="0" w:space="0" w:color="auto"/>
                <w:bottom w:val="none" w:sz="0" w:space="0" w:color="auto"/>
                <w:right w:val="none" w:sz="0" w:space="0" w:color="auto"/>
              </w:divBdr>
              <w:divsChild>
                <w:div w:id="388502947">
                  <w:marLeft w:val="0"/>
                  <w:marRight w:val="0"/>
                  <w:marTop w:val="0"/>
                  <w:marBottom w:val="0"/>
                  <w:divBdr>
                    <w:top w:val="none" w:sz="0" w:space="0" w:color="auto"/>
                    <w:left w:val="none" w:sz="0" w:space="0" w:color="auto"/>
                    <w:bottom w:val="none" w:sz="0" w:space="0" w:color="auto"/>
                    <w:right w:val="none" w:sz="0" w:space="0" w:color="auto"/>
                  </w:divBdr>
                  <w:divsChild>
                    <w:div w:id="1801797667">
                      <w:marLeft w:val="0"/>
                      <w:marRight w:val="0"/>
                      <w:marTop w:val="0"/>
                      <w:marBottom w:val="0"/>
                      <w:divBdr>
                        <w:top w:val="none" w:sz="0" w:space="0" w:color="auto"/>
                        <w:left w:val="none" w:sz="0" w:space="0" w:color="auto"/>
                        <w:bottom w:val="none" w:sz="0" w:space="0" w:color="auto"/>
                        <w:right w:val="none" w:sz="0" w:space="0" w:color="auto"/>
                      </w:divBdr>
                      <w:divsChild>
                        <w:div w:id="1545755437">
                          <w:marLeft w:val="0"/>
                          <w:marRight w:val="0"/>
                          <w:marTop w:val="15"/>
                          <w:marBottom w:val="0"/>
                          <w:divBdr>
                            <w:top w:val="none" w:sz="0" w:space="0" w:color="auto"/>
                            <w:left w:val="none" w:sz="0" w:space="0" w:color="auto"/>
                            <w:bottom w:val="none" w:sz="0" w:space="0" w:color="auto"/>
                            <w:right w:val="none" w:sz="0" w:space="0" w:color="auto"/>
                          </w:divBdr>
                          <w:divsChild>
                            <w:div w:id="1824350184">
                              <w:marLeft w:val="0"/>
                              <w:marRight w:val="0"/>
                              <w:marTop w:val="0"/>
                              <w:marBottom w:val="0"/>
                              <w:divBdr>
                                <w:top w:val="none" w:sz="0" w:space="0" w:color="auto"/>
                                <w:left w:val="none" w:sz="0" w:space="0" w:color="auto"/>
                                <w:bottom w:val="none" w:sz="0" w:space="0" w:color="auto"/>
                                <w:right w:val="none" w:sz="0" w:space="0" w:color="auto"/>
                              </w:divBdr>
                              <w:divsChild>
                                <w:div w:id="730739501">
                                  <w:marLeft w:val="0"/>
                                  <w:marRight w:val="0"/>
                                  <w:marTop w:val="0"/>
                                  <w:marBottom w:val="0"/>
                                  <w:divBdr>
                                    <w:top w:val="none" w:sz="0" w:space="0" w:color="auto"/>
                                    <w:left w:val="none" w:sz="0" w:space="0" w:color="auto"/>
                                    <w:bottom w:val="none" w:sz="0" w:space="0" w:color="auto"/>
                                    <w:right w:val="none" w:sz="0" w:space="0" w:color="auto"/>
                                  </w:divBdr>
                                </w:div>
                                <w:div w:id="1484814101">
                                  <w:marLeft w:val="0"/>
                                  <w:marRight w:val="0"/>
                                  <w:marTop w:val="0"/>
                                  <w:marBottom w:val="0"/>
                                  <w:divBdr>
                                    <w:top w:val="none" w:sz="0" w:space="0" w:color="auto"/>
                                    <w:left w:val="none" w:sz="0" w:space="0" w:color="auto"/>
                                    <w:bottom w:val="none" w:sz="0" w:space="0" w:color="auto"/>
                                    <w:right w:val="none" w:sz="0" w:space="0" w:color="auto"/>
                                  </w:divBdr>
                                </w:div>
                                <w:div w:id="115412233">
                                  <w:marLeft w:val="0"/>
                                  <w:marRight w:val="0"/>
                                  <w:marTop w:val="0"/>
                                  <w:marBottom w:val="0"/>
                                  <w:divBdr>
                                    <w:top w:val="none" w:sz="0" w:space="0" w:color="auto"/>
                                    <w:left w:val="none" w:sz="0" w:space="0" w:color="auto"/>
                                    <w:bottom w:val="none" w:sz="0" w:space="0" w:color="auto"/>
                                    <w:right w:val="none" w:sz="0" w:space="0" w:color="auto"/>
                                  </w:divBdr>
                                </w:div>
                                <w:div w:id="443960779">
                                  <w:marLeft w:val="0"/>
                                  <w:marRight w:val="0"/>
                                  <w:marTop w:val="0"/>
                                  <w:marBottom w:val="0"/>
                                  <w:divBdr>
                                    <w:top w:val="none" w:sz="0" w:space="0" w:color="auto"/>
                                    <w:left w:val="none" w:sz="0" w:space="0" w:color="auto"/>
                                    <w:bottom w:val="none" w:sz="0" w:space="0" w:color="auto"/>
                                    <w:right w:val="none" w:sz="0" w:space="0" w:color="auto"/>
                                  </w:divBdr>
                                </w:div>
                                <w:div w:id="343477165">
                                  <w:marLeft w:val="0"/>
                                  <w:marRight w:val="0"/>
                                  <w:marTop w:val="0"/>
                                  <w:marBottom w:val="0"/>
                                  <w:divBdr>
                                    <w:top w:val="none" w:sz="0" w:space="0" w:color="auto"/>
                                    <w:left w:val="none" w:sz="0" w:space="0" w:color="auto"/>
                                    <w:bottom w:val="none" w:sz="0" w:space="0" w:color="auto"/>
                                    <w:right w:val="none" w:sz="0" w:space="0" w:color="auto"/>
                                  </w:divBdr>
                                </w:div>
                                <w:div w:id="2143887309">
                                  <w:marLeft w:val="0"/>
                                  <w:marRight w:val="0"/>
                                  <w:marTop w:val="0"/>
                                  <w:marBottom w:val="0"/>
                                  <w:divBdr>
                                    <w:top w:val="none" w:sz="0" w:space="0" w:color="auto"/>
                                    <w:left w:val="none" w:sz="0" w:space="0" w:color="auto"/>
                                    <w:bottom w:val="none" w:sz="0" w:space="0" w:color="auto"/>
                                    <w:right w:val="none" w:sz="0" w:space="0" w:color="auto"/>
                                  </w:divBdr>
                                </w:div>
                                <w:div w:id="231821129">
                                  <w:marLeft w:val="0"/>
                                  <w:marRight w:val="0"/>
                                  <w:marTop w:val="0"/>
                                  <w:marBottom w:val="0"/>
                                  <w:divBdr>
                                    <w:top w:val="none" w:sz="0" w:space="0" w:color="auto"/>
                                    <w:left w:val="none" w:sz="0" w:space="0" w:color="auto"/>
                                    <w:bottom w:val="none" w:sz="0" w:space="0" w:color="auto"/>
                                    <w:right w:val="none" w:sz="0" w:space="0" w:color="auto"/>
                                  </w:divBdr>
                                </w:div>
                                <w:div w:id="887496148">
                                  <w:marLeft w:val="0"/>
                                  <w:marRight w:val="0"/>
                                  <w:marTop w:val="0"/>
                                  <w:marBottom w:val="0"/>
                                  <w:divBdr>
                                    <w:top w:val="none" w:sz="0" w:space="0" w:color="auto"/>
                                    <w:left w:val="none" w:sz="0" w:space="0" w:color="auto"/>
                                    <w:bottom w:val="none" w:sz="0" w:space="0" w:color="auto"/>
                                    <w:right w:val="none" w:sz="0" w:space="0" w:color="auto"/>
                                  </w:divBdr>
                                </w:div>
                                <w:div w:id="1706442506">
                                  <w:marLeft w:val="0"/>
                                  <w:marRight w:val="0"/>
                                  <w:marTop w:val="0"/>
                                  <w:marBottom w:val="0"/>
                                  <w:divBdr>
                                    <w:top w:val="none" w:sz="0" w:space="0" w:color="auto"/>
                                    <w:left w:val="none" w:sz="0" w:space="0" w:color="auto"/>
                                    <w:bottom w:val="none" w:sz="0" w:space="0" w:color="auto"/>
                                    <w:right w:val="none" w:sz="0" w:space="0" w:color="auto"/>
                                  </w:divBdr>
                                </w:div>
                                <w:div w:id="266229990">
                                  <w:marLeft w:val="0"/>
                                  <w:marRight w:val="0"/>
                                  <w:marTop w:val="0"/>
                                  <w:marBottom w:val="0"/>
                                  <w:divBdr>
                                    <w:top w:val="none" w:sz="0" w:space="0" w:color="auto"/>
                                    <w:left w:val="none" w:sz="0" w:space="0" w:color="auto"/>
                                    <w:bottom w:val="none" w:sz="0" w:space="0" w:color="auto"/>
                                    <w:right w:val="none" w:sz="0" w:space="0" w:color="auto"/>
                                  </w:divBdr>
                                </w:div>
                                <w:div w:id="65805956">
                                  <w:marLeft w:val="0"/>
                                  <w:marRight w:val="0"/>
                                  <w:marTop w:val="0"/>
                                  <w:marBottom w:val="0"/>
                                  <w:divBdr>
                                    <w:top w:val="none" w:sz="0" w:space="0" w:color="auto"/>
                                    <w:left w:val="none" w:sz="0" w:space="0" w:color="auto"/>
                                    <w:bottom w:val="none" w:sz="0" w:space="0" w:color="auto"/>
                                    <w:right w:val="none" w:sz="0" w:space="0" w:color="auto"/>
                                  </w:divBdr>
                                </w:div>
                                <w:div w:id="1146320791">
                                  <w:marLeft w:val="0"/>
                                  <w:marRight w:val="0"/>
                                  <w:marTop w:val="0"/>
                                  <w:marBottom w:val="0"/>
                                  <w:divBdr>
                                    <w:top w:val="none" w:sz="0" w:space="0" w:color="auto"/>
                                    <w:left w:val="none" w:sz="0" w:space="0" w:color="auto"/>
                                    <w:bottom w:val="none" w:sz="0" w:space="0" w:color="auto"/>
                                    <w:right w:val="none" w:sz="0" w:space="0" w:color="auto"/>
                                  </w:divBdr>
                                </w:div>
                                <w:div w:id="523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24.de/blueprint/servlet/resource/blob/1157422/70773b1075f0c7a05b189e96ac8cfbed/bmf-schreiben-8-3-dat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elk-wue.de/rundschreiben" TargetMode="External"/><Relationship Id="rId5" Type="http://schemas.openxmlformats.org/officeDocument/2006/relationships/webSettings" Target="webSettings.xml"/><Relationship Id="rId10" Type="http://schemas.openxmlformats.org/officeDocument/2006/relationships/hyperlink" Target="http://www.service.elk-wue.de/amtsblatt" TargetMode="External"/><Relationship Id="rId4" Type="http://schemas.openxmlformats.org/officeDocument/2006/relationships/settings" Target="settings.xml"/><Relationship Id="rId9" Type="http://schemas.openxmlformats.org/officeDocument/2006/relationships/hyperlink" Target="http://www.bundesfinanzministerium.de/Content/DE/Downloads/BMF_Schreiben/Steuerarten/Umsatzsteuer/Umsatzsteuer-Anwendungserlass/2012-07-02-Vereinfachung-der-elektronischen-Rechnungsstellung.pdf?__blob=publicationFile&amp;v=3"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222FE-48D8-4EE4-AE5B-3EBE6F772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2479</Words>
  <Characters>15624</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Haag, Dr. Norbert</dc:creator>
  <cp:lastModifiedBy>Herrmann, Birgit</cp:lastModifiedBy>
  <cp:revision>3</cp:revision>
  <dcterms:created xsi:type="dcterms:W3CDTF">2022-06-29T13:12:00Z</dcterms:created>
  <dcterms:modified xsi:type="dcterms:W3CDTF">2022-07-25T12:35:00Z</dcterms:modified>
</cp:coreProperties>
</file>